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textAlignment w:val="auto"/>
        <w:rPr>
          <w:rFonts w:hint="default" w:ascii="Times New Roman" w:hAnsi="Times New Roman" w:eastAsia="方正小标宋简体" w:cs="Times New Roman"/>
          <w:color w:val="auto"/>
          <w:sz w:val="44"/>
          <w:szCs w:val="44"/>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rFonts w:hint="default"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sz w:val="44"/>
          <w:szCs w:val="44"/>
          <w:lang w:eastAsia="zh-CN"/>
        </w:rPr>
        <w:t>区住房</w:t>
      </w:r>
      <w:bookmarkStart w:id="0" w:name="_GoBack"/>
      <w:bookmarkEnd w:id="0"/>
      <w:r>
        <w:rPr>
          <w:rFonts w:hint="eastAsia" w:ascii="Times New Roman" w:hAnsi="Times New Roman" w:eastAsia="方正小标宋简体" w:cs="Times New Roman"/>
          <w:color w:val="auto"/>
          <w:sz w:val="44"/>
          <w:szCs w:val="44"/>
          <w:lang w:eastAsia="zh-CN"/>
        </w:rPr>
        <w:t>城乡建设局</w:t>
      </w:r>
      <w:r>
        <w:rPr>
          <w:rFonts w:hint="default" w:ascii="Times New Roman" w:hAnsi="Times New Roman" w:eastAsia="方正小标宋简体" w:cs="Times New Roman"/>
          <w:color w:val="auto"/>
          <w:sz w:val="44"/>
          <w:szCs w:val="44"/>
        </w:rPr>
        <w:t>排水管网管养</w:t>
      </w:r>
    </w:p>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rFonts w:hint="default" w:ascii="Times New Roman" w:hAnsi="Times New Roman" w:cs="Times New Roman"/>
          <w:color w:val="auto"/>
          <w:sz w:val="44"/>
          <w:szCs w:val="44"/>
        </w:rPr>
      </w:pPr>
      <w:r>
        <w:rPr>
          <w:rFonts w:hint="default" w:ascii="Times New Roman" w:hAnsi="Times New Roman" w:eastAsia="方正小标宋简体" w:cs="Times New Roman"/>
          <w:color w:val="auto"/>
          <w:sz w:val="44"/>
          <w:szCs w:val="44"/>
        </w:rPr>
        <w:t>项目支出绩效评价报告</w:t>
      </w:r>
    </w:p>
    <w:p>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0"/>
          <w:szCs w:val="30"/>
          <w:lang w:val="en-US" w:eastAsia="zh-CN"/>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一、基本情况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（一）项目概况。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项目背景</w:t>
      </w:r>
    </w:p>
    <w:p>
      <w:pPr>
        <w:pStyle w:val="4"/>
        <w:ind w:firstLine="640"/>
        <w:rPr>
          <w:rFonts w:hint="default" w:ascii="Times New Roman" w:hAnsi="Times New Roman" w:eastAsia="仿宋_GB2312" w:cs="Times New Roman"/>
          <w:color w:val="000000"/>
          <w:szCs w:val="32"/>
          <w:lang w:val="en-US" w:eastAsia="zh-CN"/>
        </w:rPr>
      </w:pPr>
      <w:r>
        <w:rPr>
          <w:rFonts w:hint="default" w:ascii="Times New Roman" w:hAnsi="Times New Roman" w:eastAsia="仿宋_GB2312" w:cs="Times New Roman"/>
          <w:color w:val="000000"/>
          <w:szCs w:val="32"/>
          <w:lang w:val="en-US" w:eastAsia="zh-CN"/>
        </w:rPr>
        <w:t>为加强昆明市主城区公共排水设施运行维护和管理工作，全面提高城市排水综合管理和保障服务能力，2014年5月28日，昆明市十三届市政府第73次常务会议审议并原则通过了《关于调整昆明市主城区公共排水设施管理运营模式的实施方案》，常务会明确建立“一城一头一网”管理机制，授予昆明排水设施管理有限责任公司对昆明市主城区公共排水设施运行维护业务的特许经营权，采用“政府特许+政府采购+企业经营”的模式，对昆明市主城区公共排水设施进行运营管理，以及“主城区现有公共排水管网、泵站及相关附属设施，原则上按照国有资产管理程序无偿划拨至昆明滇池投资有限责任公司”。</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主要内容及实施情况</w:t>
      </w:r>
    </w:p>
    <w:p>
      <w:pPr>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主要内容：负责以区为主体的城市排水管网系统的运行维护，</w:t>
      </w:r>
      <w:r>
        <w:rPr>
          <w:rFonts w:hint="default" w:ascii="Times New Roman" w:hAnsi="Times New Roman" w:eastAsia="仿宋_GB2312" w:cs="Times New Roman"/>
          <w:color w:val="000000"/>
          <w:kern w:val="0"/>
          <w:sz w:val="32"/>
          <w:szCs w:val="32"/>
        </w:rPr>
        <w:t>排水管网的日常监督及巡查；</w:t>
      </w:r>
      <w:r>
        <w:rPr>
          <w:rFonts w:hint="default" w:ascii="Times New Roman" w:hAnsi="Times New Roman" w:eastAsia="仿宋_GB2312" w:cs="Times New Roman"/>
          <w:color w:val="000000"/>
          <w:kern w:val="0"/>
          <w:sz w:val="32"/>
          <w:szCs w:val="32"/>
          <w:lang w:eastAsia="zh-CN"/>
        </w:rPr>
        <w:t>城市</w:t>
      </w:r>
      <w:r>
        <w:rPr>
          <w:rFonts w:hint="default" w:ascii="Times New Roman" w:hAnsi="Times New Roman" w:eastAsia="仿宋_GB2312" w:cs="Times New Roman"/>
          <w:color w:val="000000"/>
          <w:kern w:val="0"/>
          <w:sz w:val="32"/>
          <w:szCs w:val="32"/>
        </w:rPr>
        <w:t>排水许可</w:t>
      </w:r>
      <w:r>
        <w:rPr>
          <w:rFonts w:hint="default" w:ascii="Times New Roman" w:hAnsi="Times New Roman" w:eastAsia="仿宋_GB2312" w:cs="Times New Roman"/>
          <w:color w:val="000000"/>
          <w:kern w:val="0"/>
          <w:sz w:val="32"/>
          <w:szCs w:val="32"/>
          <w:lang w:eastAsia="zh-CN"/>
        </w:rPr>
        <w:t>的审批、批后监管</w:t>
      </w:r>
      <w:r>
        <w:rPr>
          <w:rFonts w:hint="default" w:ascii="Times New Roman" w:hAnsi="Times New Roman" w:eastAsia="仿宋_GB2312" w:cs="Times New Roman"/>
          <w:color w:val="000000"/>
          <w:kern w:val="0"/>
          <w:sz w:val="32"/>
          <w:szCs w:val="32"/>
        </w:rPr>
        <w:t>；参加市局部门安排的相关工作等。利用排水管网的日常监督及巡查，保障辖区内的排水管网畅通。</w:t>
      </w:r>
    </w:p>
    <w:p>
      <w:pPr>
        <w:spacing w:line="60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实施情况：</w:t>
      </w:r>
      <w:r>
        <w:rPr>
          <w:rFonts w:hint="default" w:ascii="Times New Roman" w:hAnsi="Times New Roman" w:eastAsia="仿宋_GB2312" w:cs="Times New Roman"/>
          <w:color w:val="auto"/>
          <w:sz w:val="32"/>
          <w:szCs w:val="32"/>
          <w:highlight w:val="none"/>
        </w:rPr>
        <w:t>按照市委、市政府的工作要求，目前，昆明排水公司负责行维护五华区建成区域公共排水设施。按照昆明排水公司《公共排水管渠维护作业技术标准求》的相关要求，累计更换五华区检查井井圈、井盖</w:t>
      </w:r>
      <w:r>
        <w:rPr>
          <w:rFonts w:hint="default" w:ascii="Times New Roman" w:hAnsi="Times New Roman" w:eastAsia="仿宋_GB2312" w:cs="Times New Roman"/>
          <w:color w:val="auto"/>
          <w:spacing w:val="-6"/>
          <w:sz w:val="32"/>
          <w:szCs w:val="32"/>
          <w:highlight w:val="none"/>
        </w:rPr>
        <w:t>372</w:t>
      </w:r>
      <w:r>
        <w:rPr>
          <w:rFonts w:hint="default" w:ascii="Times New Roman" w:hAnsi="Times New Roman" w:eastAsia="仿宋_GB2312" w:cs="Times New Roman"/>
          <w:color w:val="auto"/>
          <w:sz w:val="32"/>
          <w:szCs w:val="32"/>
          <w:highlight w:val="none"/>
        </w:rPr>
        <w:t>座，雨水篦子、篦框</w:t>
      </w:r>
      <w:r>
        <w:rPr>
          <w:rFonts w:hint="default" w:ascii="Times New Roman" w:hAnsi="Times New Roman" w:eastAsia="仿宋_GB2312" w:cs="Times New Roman"/>
          <w:color w:val="auto"/>
          <w:sz w:val="32"/>
          <w:szCs w:val="32"/>
          <w:highlight w:val="none"/>
          <w:lang w:val="en-US" w:eastAsia="zh-CN"/>
        </w:rPr>
        <w:t>200</w:t>
      </w:r>
      <w:r>
        <w:rPr>
          <w:rFonts w:hint="default" w:ascii="Times New Roman" w:hAnsi="Times New Roman" w:eastAsia="仿宋_GB2312" w:cs="Times New Roman"/>
          <w:color w:val="auto"/>
          <w:sz w:val="32"/>
          <w:szCs w:val="32"/>
          <w:highlight w:val="none"/>
        </w:rPr>
        <w:t>座；累计清淤公共排水管渠</w:t>
      </w:r>
      <w:r>
        <w:rPr>
          <w:rFonts w:hint="default" w:ascii="Times New Roman" w:hAnsi="Times New Roman" w:eastAsia="仿宋_GB2312" w:cs="Times New Roman"/>
          <w:color w:val="auto"/>
          <w:sz w:val="32"/>
          <w:szCs w:val="32"/>
          <w:highlight w:val="none"/>
          <w:lang w:val="en-US" w:eastAsia="zh-CN"/>
        </w:rPr>
        <w:t>234.2</w:t>
      </w:r>
      <w:r>
        <w:rPr>
          <w:rFonts w:hint="default" w:ascii="Times New Roman" w:hAnsi="Times New Roman" w:eastAsia="仿宋_GB2312" w:cs="Times New Roman"/>
          <w:color w:val="auto"/>
          <w:sz w:val="32"/>
          <w:szCs w:val="32"/>
          <w:highlight w:val="none"/>
        </w:rPr>
        <w:t xml:space="preserve">公里，淤泥量达 </w:t>
      </w:r>
      <w:r>
        <w:rPr>
          <w:rFonts w:hint="default" w:ascii="Times New Roman" w:hAnsi="Times New Roman" w:eastAsia="仿宋_GB2312" w:cs="Times New Roman"/>
          <w:color w:val="auto"/>
          <w:sz w:val="32"/>
          <w:szCs w:val="32"/>
          <w:highlight w:val="none"/>
          <w:lang w:val="en-US" w:eastAsia="zh-CN"/>
        </w:rPr>
        <w:t>10000</w:t>
      </w:r>
      <w:r>
        <w:rPr>
          <w:rFonts w:hint="default" w:ascii="Times New Roman" w:hAnsi="Times New Roman" w:eastAsia="仿宋_GB2312" w:cs="Times New Roman"/>
          <w:color w:val="auto"/>
          <w:sz w:val="32"/>
          <w:szCs w:val="32"/>
          <w:highlight w:val="none"/>
        </w:rPr>
        <w:t>立方米；累计维修维护设备</w:t>
      </w:r>
      <w:r>
        <w:rPr>
          <w:rFonts w:hint="default" w:ascii="Times New Roman" w:hAnsi="Times New Roman" w:eastAsia="仿宋_GB2312" w:cs="Times New Roman"/>
          <w:color w:val="auto"/>
          <w:sz w:val="32"/>
          <w:szCs w:val="32"/>
          <w:highlight w:val="none"/>
          <w:lang w:val="en-US" w:eastAsia="zh-CN"/>
        </w:rPr>
        <w:t>178</w:t>
      </w:r>
      <w:r>
        <w:rPr>
          <w:rFonts w:hint="default" w:ascii="Times New Roman" w:hAnsi="Times New Roman" w:eastAsia="仿宋_GB2312" w:cs="Times New Roman"/>
          <w:color w:val="auto"/>
          <w:sz w:val="32"/>
          <w:szCs w:val="32"/>
          <w:highlight w:val="none"/>
        </w:rPr>
        <w:t>台(次)。8座公共排水泵站累计抽排水量约</w:t>
      </w:r>
      <w:r>
        <w:rPr>
          <w:rFonts w:hint="default" w:ascii="Times New Roman" w:hAnsi="Times New Roman" w:eastAsia="仿宋_GB2312" w:cs="Times New Roman"/>
          <w:color w:val="auto"/>
          <w:sz w:val="32"/>
          <w:szCs w:val="32"/>
          <w:highlight w:val="none"/>
          <w:lang w:val="en-US" w:eastAsia="zh-CN"/>
        </w:rPr>
        <w:t>1508.1</w:t>
      </w:r>
      <w:r>
        <w:rPr>
          <w:rFonts w:hint="default" w:ascii="Times New Roman" w:hAnsi="Times New Roman" w:eastAsia="仿宋_GB2312" w:cs="Times New Roman"/>
          <w:color w:val="auto"/>
          <w:sz w:val="32"/>
          <w:szCs w:val="32"/>
          <w:highlight w:val="none"/>
        </w:rPr>
        <w:t>万立方米，6座调蓄池已完成精淤工作，累计蓄水</w:t>
      </w:r>
      <w:r>
        <w:rPr>
          <w:rFonts w:hint="default" w:ascii="Times New Roman" w:hAnsi="Times New Roman" w:eastAsia="仿宋_GB2312" w:cs="Times New Roman"/>
          <w:color w:val="auto"/>
          <w:sz w:val="32"/>
          <w:szCs w:val="32"/>
          <w:highlight w:val="none"/>
          <w:lang w:val="en-US" w:eastAsia="zh-CN"/>
        </w:rPr>
        <w:t>145</w:t>
      </w:r>
      <w:r>
        <w:rPr>
          <w:rFonts w:hint="default" w:ascii="Times New Roman" w:hAnsi="Times New Roman" w:eastAsia="仿宋_GB2312" w:cs="Times New Roman"/>
          <w:color w:val="auto"/>
          <w:sz w:val="32"/>
          <w:szCs w:val="32"/>
          <w:highlight w:val="none"/>
        </w:rPr>
        <w:t>次，蓄水总量约</w:t>
      </w:r>
      <w:r>
        <w:rPr>
          <w:rFonts w:hint="default" w:ascii="Times New Roman" w:hAnsi="Times New Roman" w:eastAsia="仿宋_GB2312" w:cs="Times New Roman"/>
          <w:color w:val="auto"/>
          <w:sz w:val="32"/>
          <w:szCs w:val="32"/>
          <w:highlight w:val="none"/>
          <w:lang w:val="en-US" w:eastAsia="zh-CN"/>
        </w:rPr>
        <w:t>835.7</w:t>
      </w:r>
      <w:r>
        <w:rPr>
          <w:rFonts w:hint="default" w:ascii="Times New Roman" w:hAnsi="Times New Roman" w:eastAsia="仿宋_GB2312" w:cs="Times New Roman"/>
          <w:color w:val="auto"/>
          <w:sz w:val="32"/>
          <w:szCs w:val="32"/>
          <w:highlight w:val="none"/>
        </w:rPr>
        <w:t>万立方米。昆明排水公司受理五华区各类公共排水案件</w:t>
      </w:r>
      <w:r>
        <w:rPr>
          <w:rFonts w:hint="default" w:ascii="Times New Roman" w:hAnsi="Times New Roman" w:eastAsia="仿宋_GB2312" w:cs="Times New Roman"/>
          <w:color w:val="auto"/>
          <w:sz w:val="32"/>
          <w:szCs w:val="32"/>
          <w:highlight w:val="none"/>
          <w:lang w:val="en-US" w:eastAsia="zh-CN"/>
        </w:rPr>
        <w:t>5528</w:t>
      </w:r>
      <w:r>
        <w:rPr>
          <w:rFonts w:hint="default" w:ascii="Times New Roman" w:hAnsi="Times New Roman" w:eastAsia="仿宋_GB2312" w:cs="Times New Roman"/>
          <w:color w:val="auto"/>
          <w:sz w:val="32"/>
          <w:szCs w:val="32"/>
          <w:highlight w:val="none"/>
        </w:rPr>
        <w:t>回退责任范围外及其他设施案件</w:t>
      </w:r>
      <w:r>
        <w:rPr>
          <w:rFonts w:hint="default" w:ascii="Times New Roman" w:hAnsi="Times New Roman" w:eastAsia="仿宋_GB2312" w:cs="Times New Roman"/>
          <w:color w:val="auto"/>
          <w:sz w:val="32"/>
          <w:szCs w:val="32"/>
          <w:highlight w:val="none"/>
          <w:lang w:val="en-US" w:eastAsia="zh-CN"/>
        </w:rPr>
        <w:t>4116</w:t>
      </w:r>
      <w:r>
        <w:rPr>
          <w:rFonts w:hint="default" w:ascii="Times New Roman" w:hAnsi="Times New Roman" w:eastAsia="仿宋_GB2312" w:cs="Times New Roman"/>
          <w:color w:val="auto"/>
          <w:sz w:val="32"/>
          <w:szCs w:val="32"/>
          <w:highlight w:val="none"/>
        </w:rPr>
        <w:t>件，处理处置完成公水案</w:t>
      </w:r>
      <w:r>
        <w:rPr>
          <w:rFonts w:hint="default" w:ascii="Times New Roman" w:hAnsi="Times New Roman" w:eastAsia="仿宋_GB2312" w:cs="Times New Roman"/>
          <w:color w:val="auto"/>
          <w:sz w:val="32"/>
          <w:szCs w:val="32"/>
          <w:highlight w:val="none"/>
          <w:lang w:val="en-US" w:eastAsia="zh-CN"/>
        </w:rPr>
        <w:t>件1412</w:t>
      </w:r>
      <w:r>
        <w:rPr>
          <w:rFonts w:hint="default" w:ascii="Times New Roman" w:hAnsi="Times New Roman" w:eastAsia="仿宋_GB2312" w:cs="Times New Roman"/>
          <w:color w:val="auto"/>
          <w:sz w:val="32"/>
          <w:szCs w:val="32"/>
          <w:highlight w:val="none"/>
        </w:rPr>
        <w:t>件，处置率达100%。</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leftChars="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资金投入和使用情况</w:t>
      </w:r>
    </w:p>
    <w:p>
      <w:pPr>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本级财政202</w:t>
      </w:r>
      <w:r>
        <w:rPr>
          <w:rFonts w:hint="default"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rPr>
        <w:t>年预算</w:t>
      </w:r>
      <w:r>
        <w:rPr>
          <w:rFonts w:hint="default" w:ascii="Times New Roman" w:hAnsi="Times New Roman" w:eastAsia="仿宋_GB2312" w:cs="Times New Roman"/>
          <w:color w:val="000000"/>
          <w:kern w:val="0"/>
          <w:sz w:val="32"/>
          <w:szCs w:val="32"/>
          <w:lang w:val="en-US" w:eastAsia="zh-CN"/>
        </w:rPr>
        <w:t>下达400</w:t>
      </w:r>
      <w:r>
        <w:rPr>
          <w:rFonts w:hint="default" w:ascii="Times New Roman" w:hAnsi="Times New Roman" w:eastAsia="仿宋_GB2312" w:cs="Times New Roman"/>
          <w:color w:val="000000"/>
          <w:kern w:val="0"/>
          <w:sz w:val="32"/>
          <w:szCs w:val="32"/>
        </w:rPr>
        <w:t>万元，支付给昆明排水公司，用于维护五华区辖区内的管网</w:t>
      </w:r>
      <w:r>
        <w:rPr>
          <w:rFonts w:hint="default" w:ascii="Times New Roman" w:hAnsi="Times New Roman" w:eastAsia="仿宋_GB2312" w:cs="Times New Roman"/>
          <w:color w:val="000000"/>
          <w:kern w:val="0"/>
          <w:sz w:val="32"/>
          <w:szCs w:val="32"/>
          <w:lang w:eastAsia="zh-CN"/>
        </w:rPr>
        <w:t>。根据框架协议，每季度付</w:t>
      </w:r>
      <w:r>
        <w:rPr>
          <w:rFonts w:hint="default" w:ascii="Times New Roman" w:hAnsi="Times New Roman" w:eastAsia="仿宋_GB2312" w:cs="Times New Roman"/>
          <w:color w:val="000000"/>
          <w:kern w:val="0"/>
          <w:sz w:val="32"/>
          <w:szCs w:val="32"/>
          <w:lang w:val="en-US" w:eastAsia="zh-CN"/>
        </w:rPr>
        <w:t>100万元，每年400万元</w:t>
      </w:r>
      <w:r>
        <w:rPr>
          <w:rFonts w:hint="default" w:ascii="Times New Roman" w:hAnsi="Times New Roman" w:eastAsia="仿宋_GB2312" w:cs="Times New Roman"/>
          <w:color w:val="000000"/>
          <w:kern w:val="0"/>
          <w:sz w:val="32"/>
          <w:szCs w:val="32"/>
        </w:rPr>
        <w:t>。目前，昆明排水公司负责运行维护昆明市主城五华区建成区域公共排水设施，其中，排水管渠</w:t>
      </w:r>
      <w:r>
        <w:rPr>
          <w:rFonts w:hint="default" w:ascii="Times New Roman" w:hAnsi="Times New Roman" w:eastAsia="仿宋_GB2312" w:cs="Times New Roman"/>
          <w:color w:val="000000"/>
          <w:kern w:val="0"/>
          <w:sz w:val="32"/>
          <w:szCs w:val="32"/>
          <w:lang w:val="en-US" w:eastAsia="zh-CN"/>
        </w:rPr>
        <w:t>825.5</w:t>
      </w:r>
      <w:r>
        <w:rPr>
          <w:rFonts w:hint="default" w:ascii="Times New Roman" w:hAnsi="Times New Roman" w:eastAsia="仿宋_GB2312" w:cs="Times New Roman"/>
          <w:color w:val="000000"/>
          <w:kern w:val="0"/>
          <w:sz w:val="32"/>
          <w:szCs w:val="32"/>
        </w:rPr>
        <w:t>km、公共排水泵站</w:t>
      </w:r>
      <w:r>
        <w:rPr>
          <w:rFonts w:hint="default" w:ascii="Times New Roman" w:hAnsi="Times New Roman" w:eastAsia="仿宋_GB2312" w:cs="Times New Roman"/>
          <w:color w:val="000000"/>
          <w:kern w:val="0"/>
          <w:sz w:val="32"/>
          <w:szCs w:val="32"/>
          <w:lang w:val="en-US" w:eastAsia="zh-CN"/>
        </w:rPr>
        <w:t>8</w:t>
      </w:r>
      <w:r>
        <w:rPr>
          <w:rFonts w:hint="default" w:ascii="Times New Roman" w:hAnsi="Times New Roman" w:eastAsia="仿宋_GB2312" w:cs="Times New Roman"/>
          <w:color w:val="000000"/>
          <w:kern w:val="0"/>
          <w:sz w:val="32"/>
          <w:szCs w:val="32"/>
        </w:rPr>
        <w:t>座、雨污调蓄池</w:t>
      </w:r>
      <w:r>
        <w:rPr>
          <w:rFonts w:hint="default"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座等。</w:t>
      </w:r>
    </w:p>
    <w:p>
      <w:pPr>
        <w:keepNext w:val="0"/>
        <w:keepLines w:val="0"/>
        <w:pageBreakBefore w:val="0"/>
        <w:widowControl/>
        <w:numPr>
          <w:ilvl w:val="0"/>
          <w:numId w:val="2"/>
        </w:numPr>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项目绩效目标。</w:t>
      </w:r>
    </w:p>
    <w:p>
      <w:pPr>
        <w:pStyle w:val="2"/>
        <w:numPr>
          <w:ilvl w:val="0"/>
          <w:numId w:val="0"/>
        </w:numPr>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rPr>
        <w:t>开展五华区辖区内管网的日常维管及检测工作，确保辖区内排水管网及附属设施正常运行；</w:t>
      </w:r>
    </w:p>
    <w:p>
      <w:pPr>
        <w:pStyle w:val="2"/>
        <w:numPr>
          <w:ilvl w:val="0"/>
          <w:numId w:val="0"/>
        </w:numPr>
        <w:ind w:firstLine="640" w:firstLineChars="200"/>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2</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有计划的分步骤完成辖区内排水管网升级改造工作，</w:t>
      </w:r>
      <w:r>
        <w:rPr>
          <w:rFonts w:hint="default" w:ascii="Times New Roman" w:hAnsi="Times New Roman" w:eastAsia="仿宋_GB2312" w:cs="Times New Roman"/>
          <w:color w:val="000000"/>
          <w:kern w:val="0"/>
          <w:sz w:val="32"/>
          <w:szCs w:val="32"/>
          <w:lang w:eastAsia="zh-CN"/>
        </w:rPr>
        <w:t>改善</w:t>
      </w:r>
      <w:r>
        <w:rPr>
          <w:rFonts w:hint="default" w:ascii="Times New Roman" w:hAnsi="Times New Roman" w:eastAsia="仿宋_GB2312" w:cs="Times New Roman"/>
          <w:color w:val="000000"/>
          <w:kern w:val="0"/>
          <w:sz w:val="32"/>
          <w:szCs w:val="32"/>
        </w:rPr>
        <w:t>人居环境，</w:t>
      </w:r>
      <w:r>
        <w:rPr>
          <w:rFonts w:hint="default" w:ascii="Times New Roman" w:hAnsi="Times New Roman" w:eastAsia="仿宋_GB2312" w:cs="Times New Roman"/>
          <w:color w:val="000000"/>
          <w:kern w:val="0"/>
          <w:sz w:val="32"/>
          <w:szCs w:val="32"/>
          <w:lang w:eastAsia="zh-CN"/>
        </w:rPr>
        <w:t>增加人民生活幸福指数，</w:t>
      </w:r>
      <w:r>
        <w:rPr>
          <w:rFonts w:hint="default" w:ascii="Times New Roman" w:hAnsi="Times New Roman" w:eastAsia="仿宋_GB2312" w:cs="Times New Roman"/>
          <w:color w:val="000000"/>
          <w:kern w:val="0"/>
          <w:sz w:val="32"/>
          <w:szCs w:val="32"/>
        </w:rPr>
        <w:t>为生活安全</w:t>
      </w:r>
      <w:r>
        <w:rPr>
          <w:rFonts w:hint="default" w:ascii="Times New Roman" w:hAnsi="Times New Roman" w:eastAsia="仿宋_GB2312" w:cs="Times New Roman"/>
          <w:color w:val="000000"/>
          <w:kern w:val="0"/>
          <w:sz w:val="32"/>
          <w:szCs w:val="32"/>
          <w:lang w:eastAsia="zh-CN"/>
        </w:rPr>
        <w:t>提供</w:t>
      </w:r>
      <w:r>
        <w:rPr>
          <w:rFonts w:hint="default" w:ascii="Times New Roman" w:hAnsi="Times New Roman" w:eastAsia="仿宋_GB2312" w:cs="Times New Roman"/>
          <w:color w:val="000000"/>
          <w:kern w:val="0"/>
          <w:sz w:val="32"/>
          <w:szCs w:val="32"/>
        </w:rPr>
        <w:t>保障</w:t>
      </w:r>
      <w:r>
        <w:rPr>
          <w:rFonts w:hint="default" w:ascii="Times New Roman" w:hAnsi="Times New Roman" w:eastAsia="仿宋_GB2312" w:cs="Times New Roman"/>
          <w:color w:val="000000"/>
          <w:kern w:val="0"/>
          <w:sz w:val="32"/>
          <w:szCs w:val="32"/>
          <w:lang w:eastAsia="zh-CN"/>
        </w:rPr>
        <w:t>；</w:t>
      </w:r>
    </w:p>
    <w:p>
      <w:pPr>
        <w:pStyle w:val="2"/>
        <w:numPr>
          <w:ilvl w:val="0"/>
          <w:numId w:val="0"/>
        </w:numPr>
        <w:ind w:firstLine="640" w:firstLineChars="200"/>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3.有利于进一步提升排水管网的性能，给人们的生活和生产提供有力保障。</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（三）项目组织管理情况。</w:t>
      </w:r>
    </w:p>
    <w:p>
      <w:pPr>
        <w:pStyle w:val="4"/>
        <w:ind w:firstLine="640"/>
        <w:rPr>
          <w:rFonts w:hint="default" w:ascii="Times New Roman" w:hAnsi="Times New Roman" w:eastAsia="仿宋_GB2312" w:cs="Times New Roman"/>
        </w:rPr>
      </w:pPr>
      <w:r>
        <w:rPr>
          <w:rFonts w:hint="default" w:ascii="Times New Roman" w:hAnsi="Times New Roman" w:eastAsia="仿宋_GB2312" w:cs="Times New Roman"/>
          <w:lang w:val="en-US" w:eastAsia="zh-CN"/>
        </w:rPr>
        <w:t>1、</w:t>
      </w:r>
      <w:r>
        <w:rPr>
          <w:rFonts w:hint="default" w:ascii="Times New Roman" w:hAnsi="Times New Roman" w:eastAsia="仿宋_GB2312" w:cs="Times New Roman"/>
        </w:rPr>
        <w:t>项目组织保障</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为加强项目管理，特成立预算绩效管理工作小组</w:t>
      </w:r>
    </w:p>
    <w:p>
      <w:pPr>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rPr>
        <w:t>组长：</w:t>
      </w:r>
      <w:r>
        <w:rPr>
          <w:rFonts w:hint="default" w:ascii="Times New Roman" w:hAnsi="Times New Roman" w:eastAsia="仿宋_GB2312" w:cs="Times New Roman"/>
          <w:sz w:val="32"/>
          <w:szCs w:val="32"/>
          <w:highlight w:val="none"/>
          <w:lang w:eastAsia="zh-CN"/>
        </w:rPr>
        <w:t>董天能</w:t>
      </w:r>
    </w:p>
    <w:p>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副组长：</w:t>
      </w:r>
      <w:r>
        <w:rPr>
          <w:rFonts w:hint="default" w:ascii="Times New Roman" w:hAnsi="Times New Roman" w:eastAsia="仿宋_GB2312" w:cs="Times New Roman"/>
          <w:sz w:val="32"/>
          <w:szCs w:val="32"/>
          <w:highlight w:val="none"/>
          <w:lang w:eastAsia="zh-CN"/>
        </w:rPr>
        <w:t>马晓宇</w:t>
      </w:r>
    </w:p>
    <w:p>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成员：</w:t>
      </w:r>
      <w:r>
        <w:rPr>
          <w:rFonts w:hint="default" w:ascii="Times New Roman" w:hAnsi="Times New Roman" w:eastAsia="仿宋_GB2312" w:cs="Times New Roman"/>
          <w:sz w:val="32"/>
          <w:szCs w:val="32"/>
          <w:lang w:eastAsia="zh-CN"/>
        </w:rPr>
        <w:t>李恒</w:t>
      </w:r>
      <w:r>
        <w:rPr>
          <w:rFonts w:hint="default" w:ascii="Times New Roman" w:hAnsi="Times New Roman" w:eastAsia="仿宋_GB2312" w:cs="Times New Roman"/>
          <w:sz w:val="32"/>
          <w:szCs w:val="32"/>
          <w:highlight w:val="none"/>
          <w:lang w:eastAsia="zh-CN"/>
        </w:rPr>
        <w:t>、郭文玉、彭秀文、钮淑蓉、李宁、魏小鸿</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预算绩效管理小组负责组织协调、督促检查，实施对项目资金使用管理工作的统筹安排，主要职责如下：负责预算编审；负责任务目标分解，确保预算绩效考核目标任务的完成，做好对项目日常督促检查、运行监控及绩效考核工作；负责绩效管理台账资料整编汇总，相关资料（包括但不限于项目绩效目标申报表、项目绩效目标运行监控表和监控报告、项目绩效自评报告、绩效发现问题的整改报告等）的报送工作，绩效管理信息公开工作；负责项目工作的监督检查，并针对绩效运行监控及评价中发现的问题，及时整改落实措施。</w:t>
      </w:r>
    </w:p>
    <w:p>
      <w:pPr>
        <w:pStyle w:val="4"/>
        <w:ind w:firstLine="640"/>
        <w:rPr>
          <w:rFonts w:hint="default" w:ascii="Times New Roman" w:hAnsi="Times New Roman" w:eastAsia="仿宋_GB2312" w:cs="Times New Roman"/>
          <w:color w:val="000000"/>
        </w:rPr>
      </w:pPr>
      <w:r>
        <w:rPr>
          <w:rFonts w:hint="default" w:ascii="Times New Roman" w:hAnsi="Times New Roman" w:eastAsia="仿宋_GB2312" w:cs="Times New Roman"/>
          <w:color w:val="000000"/>
          <w:lang w:val="en-US" w:eastAsia="zh-CN"/>
        </w:rPr>
        <w:t>2、</w:t>
      </w:r>
      <w:r>
        <w:rPr>
          <w:rFonts w:hint="default" w:ascii="Times New Roman" w:hAnsi="Times New Roman" w:eastAsia="仿宋_GB2312" w:cs="Times New Roman"/>
          <w:color w:val="000000"/>
        </w:rPr>
        <w:t>项目单位内控机制</w:t>
      </w:r>
    </w:p>
    <w:p>
      <w:pPr>
        <w:pStyle w:val="11"/>
        <w:widowControl/>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本项目有规范的内控机制，项目实施单位严格按照</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昆明市五华区住房和城乡建设局内部控制制度》</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《中共五华区住房和城乡建设局委员会贯彻落实“三重一大”事项集体决策制度实施办法》</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昆明市五华区住房和城乡建设局财务管理制度》的规定要求实施项目，项目有实施工作方案，有项目实施细化明细，具有可量化，可说明，充分体现项目效果的项目实施绩效指标，以及有描述清晰并可追溯的绩效指标获得途径（来源）。整个项目的实施期间有严格的审批控制同时建立了完善的内部审计机制。</w:t>
      </w:r>
    </w:p>
    <w:p>
      <w:pPr>
        <w:pStyle w:val="11"/>
        <w:widowControl/>
        <w:ind w:left="64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项目节支增效措施</w:t>
      </w:r>
    </w:p>
    <w:p>
      <w:pPr>
        <w:pStyle w:val="11"/>
        <w:widowControl/>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本项目有节支增效的措施，项目实施单位严格按照</w:t>
      </w:r>
      <w:r>
        <w:rPr>
          <w:rFonts w:hint="default" w:ascii="Times New Roman" w:hAnsi="Times New Roman" w:eastAsia="仿宋_GB2312" w:cs="Times New Roman"/>
          <w:color w:val="000000"/>
          <w:kern w:val="0"/>
          <w:sz w:val="32"/>
          <w:szCs w:val="32"/>
        </w:rPr>
        <w:t>《昆明市五华区住房和城乡建设局内部控制制度》</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《中共五华区住房和城乡建设局委员会贯彻落实“三重一大”事项集体决策制度实施办法》</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《昆明市五华区住房和城乡建设局财务管理制度》</w:t>
      </w:r>
      <w:r>
        <w:rPr>
          <w:rFonts w:hint="default" w:ascii="Times New Roman" w:hAnsi="Times New Roman" w:eastAsia="仿宋_GB2312" w:cs="Times New Roman"/>
          <w:kern w:val="0"/>
          <w:sz w:val="32"/>
          <w:szCs w:val="32"/>
        </w:rPr>
        <w:t>的规定要求，完善支出审核程序，厉行节约，并建立节支增效的改进措施.</w:t>
      </w:r>
    </w:p>
    <w:p>
      <w:pPr>
        <w:pStyle w:val="11"/>
        <w:widowControl/>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bCs/>
          <w:kern w:val="0"/>
          <w:sz w:val="32"/>
          <w:szCs w:val="32"/>
          <w:lang w:val="en-US" w:eastAsia="zh-CN"/>
        </w:rPr>
        <w:t>4、</w:t>
      </w:r>
      <w:r>
        <w:rPr>
          <w:rFonts w:hint="default" w:ascii="Times New Roman" w:hAnsi="Times New Roman" w:eastAsia="仿宋_GB2312" w:cs="Times New Roman"/>
          <w:bCs/>
          <w:kern w:val="0"/>
          <w:sz w:val="32"/>
          <w:szCs w:val="32"/>
        </w:rPr>
        <w:t>项目财务管理</w:t>
      </w:r>
    </w:p>
    <w:p>
      <w:pPr>
        <w:pStyle w:val="4"/>
        <w:ind w:right="640"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rPr>
        <w:t>本项目健全的财务管理制度，严格按照</w:t>
      </w:r>
      <w:r>
        <w:rPr>
          <w:rFonts w:hint="default" w:ascii="Times New Roman" w:hAnsi="Times New Roman" w:eastAsia="仿宋_GB2312" w:cs="Times New Roman"/>
          <w:lang w:eastAsia="zh-CN"/>
        </w:rPr>
        <w:t>《</w:t>
      </w:r>
      <w:r>
        <w:rPr>
          <w:rFonts w:hint="default" w:ascii="Times New Roman" w:hAnsi="Times New Roman" w:eastAsia="仿宋_GB2312" w:cs="Times New Roman"/>
          <w:color w:val="000000"/>
          <w:szCs w:val="32"/>
        </w:rPr>
        <w:t>昆明市五华区住房和城乡建设局内部控制制度</w:t>
      </w:r>
      <w:r>
        <w:rPr>
          <w:rFonts w:hint="default" w:ascii="Times New Roman" w:hAnsi="Times New Roman" w:eastAsia="仿宋_GB2312" w:cs="Times New Roman"/>
          <w:lang w:eastAsia="zh-CN"/>
        </w:rPr>
        <w:t>》、</w:t>
      </w:r>
      <w:r>
        <w:rPr>
          <w:rFonts w:hint="default" w:ascii="Times New Roman" w:hAnsi="Times New Roman" w:eastAsia="仿宋_GB2312" w:cs="Times New Roman"/>
          <w:color w:val="000000"/>
          <w:szCs w:val="32"/>
        </w:rPr>
        <w:t>《中共五华区住房和城乡建设局委员会贯彻落实“三重一大”事项集体决策制度实施办法》</w:t>
      </w:r>
      <w:r>
        <w:rPr>
          <w:rFonts w:hint="default" w:ascii="Times New Roman" w:hAnsi="Times New Roman" w:eastAsia="仿宋_GB2312" w:cs="Times New Roman"/>
          <w:color w:val="000000"/>
          <w:szCs w:val="32"/>
          <w:lang w:eastAsia="zh-CN"/>
        </w:rPr>
        <w:t>、</w:t>
      </w:r>
      <w:r>
        <w:rPr>
          <w:rFonts w:hint="default" w:ascii="Times New Roman" w:hAnsi="Times New Roman" w:eastAsia="仿宋_GB2312" w:cs="Times New Roman"/>
          <w:color w:val="000000"/>
          <w:szCs w:val="32"/>
        </w:rPr>
        <w:t>《昆明市五华区住房和城乡建设局财务管理制度》</w:t>
      </w:r>
      <w:r>
        <w:rPr>
          <w:rFonts w:hint="default" w:ascii="Times New Roman" w:hAnsi="Times New Roman" w:eastAsia="仿宋_GB2312" w:cs="Times New Roman"/>
          <w:color w:val="000000"/>
          <w:szCs w:val="32"/>
          <w:lang w:eastAsia="zh-CN"/>
        </w:rPr>
        <w:t>及《昆明市五华区住房和城乡建设局预算绩效管理制度》</w:t>
      </w:r>
      <w:r>
        <w:rPr>
          <w:rFonts w:hint="default" w:ascii="Times New Roman" w:hAnsi="Times New Roman" w:eastAsia="仿宋_GB2312" w:cs="Times New Roman"/>
        </w:rPr>
        <w:t>的规定执行。</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二、绩效评价工作开展情况</w:t>
      </w:r>
    </w:p>
    <w:p>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（一）绩效评价目的、对象和范围。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highlight w:val="none"/>
        </w:rPr>
      </w:pPr>
      <w:r>
        <w:rPr>
          <w:rFonts w:hint="default" w:ascii="Times New Roman" w:hAnsi="Times New Roman" w:eastAsia="仿宋_GB2312" w:cs="Times New Roman"/>
          <w:spacing w:val="0"/>
          <w:w w:val="100"/>
          <w:kern w:val="21"/>
          <w:sz w:val="32"/>
          <w:szCs w:val="32"/>
          <w:highlight w:val="none"/>
          <w:lang w:val="en-US" w:eastAsia="zh-CN"/>
        </w:rPr>
        <w:t>通过绩效评价，做到项目专款专用，提高资金使用效率。</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（二）</w:t>
      </w:r>
      <w:r>
        <w:rPr>
          <w:rFonts w:hint="default" w:ascii="Times New Roman" w:hAnsi="Times New Roman" w:eastAsia="仿宋_GB2312" w:cs="Times New Roman"/>
          <w:color w:val="auto"/>
          <w:sz w:val="32"/>
          <w:szCs w:val="32"/>
          <w:highlight w:val="none"/>
        </w:rPr>
        <w:t>绩效评价原则、依据、评价指标体系（附表说明）、评价方法、评价标准、评价抽样等。</w:t>
      </w:r>
    </w:p>
    <w:p>
      <w:pPr>
        <w:pStyle w:val="2"/>
        <w:rPr>
          <w:rFonts w:hint="default" w:ascii="Times New Roman" w:hAnsi="Times New Roman" w:cs="Times New Roman"/>
          <w:highlight w:val="none"/>
        </w:rPr>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9"/>
        <w:gridCol w:w="869"/>
        <w:gridCol w:w="1923"/>
        <w:gridCol w:w="1483"/>
        <w:gridCol w:w="1121"/>
        <w:gridCol w:w="1118"/>
        <w:gridCol w:w="12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项目名称</w:t>
            </w:r>
          </w:p>
        </w:tc>
        <w:tc>
          <w:tcPr>
            <w:tcW w:w="406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排水管网管养专项经费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9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主管部门</w:t>
            </w:r>
          </w:p>
        </w:tc>
        <w:tc>
          <w:tcPr>
            <w:tcW w:w="26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昆明市五华区住房和城乡建设局</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实施单位</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昆明市五华区住房和城乡建设局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3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项目资金</w:t>
            </w:r>
            <w:r>
              <w:rPr>
                <w:rStyle w:val="12"/>
                <w:rFonts w:hint="default" w:ascii="Times New Roman" w:hAnsi="Times New Roman" w:eastAsia="宋体" w:cs="Times New Roman"/>
                <w:lang w:val="en-US" w:eastAsia="zh-CN" w:bidi="ar"/>
              </w:rPr>
              <w:br w:type="textWrapping"/>
            </w:r>
            <w:r>
              <w:rPr>
                <w:rStyle w:val="13"/>
                <w:rFonts w:hint="default" w:ascii="Times New Roman" w:hAnsi="Times New Roman" w:cs="Times New Roman"/>
                <w:lang w:val="en-US" w:eastAsia="zh-CN" w:bidi="ar"/>
              </w:rPr>
              <w:t>（万元）</w:t>
            </w:r>
          </w:p>
        </w:tc>
        <w:tc>
          <w:tcPr>
            <w:tcW w:w="11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i w:val="0"/>
                <w:iCs w:val="0"/>
                <w:color w:val="000000"/>
                <w:sz w:val="20"/>
                <w:szCs w:val="20"/>
                <w:u w:val="none"/>
              </w:rPr>
            </w:pP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年初预算数</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全年预算数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全年执行数</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3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年度资金总额</w:t>
            </w:r>
          </w:p>
        </w:tc>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400.00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400.00</w:t>
            </w: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400.00</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3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其中：当年财政拨款</w:t>
            </w:r>
          </w:p>
        </w:tc>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400.00</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400.00</w:t>
            </w: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400.00</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年度</w:t>
            </w:r>
            <w:r>
              <w:rPr>
                <w:rStyle w:val="12"/>
                <w:rFonts w:hint="default" w:ascii="Times New Roman" w:hAnsi="Times New Roman" w:eastAsia="宋体" w:cs="Times New Roman"/>
                <w:lang w:val="en-US" w:eastAsia="zh-CN" w:bidi="ar"/>
              </w:rPr>
              <w:br w:type="textWrapping"/>
            </w:r>
            <w:r>
              <w:rPr>
                <w:rStyle w:val="13"/>
                <w:rFonts w:hint="default" w:ascii="Times New Roman" w:hAnsi="Times New Roman" w:cs="Times New Roman"/>
                <w:lang w:val="en-US" w:eastAsia="zh-CN" w:bidi="ar"/>
              </w:rPr>
              <w:t>总体</w:t>
            </w:r>
            <w:r>
              <w:rPr>
                <w:rStyle w:val="12"/>
                <w:rFonts w:hint="default" w:ascii="Times New Roman" w:hAnsi="Times New Roman" w:eastAsia="宋体" w:cs="Times New Roman"/>
                <w:lang w:val="en-US" w:eastAsia="zh-CN" w:bidi="ar"/>
              </w:rPr>
              <w:br w:type="textWrapping"/>
            </w:r>
            <w:r>
              <w:rPr>
                <w:rStyle w:val="13"/>
                <w:rFonts w:hint="default" w:ascii="Times New Roman" w:hAnsi="Times New Roman" w:cs="Times New Roman"/>
                <w:lang w:val="en-US" w:eastAsia="zh-CN" w:bidi="ar"/>
              </w:rPr>
              <w:t>目标</w:t>
            </w:r>
          </w:p>
        </w:tc>
        <w:tc>
          <w:tcPr>
            <w:tcW w:w="316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预期目标</w:t>
            </w:r>
          </w:p>
        </w:tc>
        <w:tc>
          <w:tcPr>
            <w:tcW w:w="14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16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r>
              <w:rPr>
                <w:rStyle w:val="13"/>
                <w:rFonts w:hint="default" w:ascii="Times New Roman" w:hAnsi="Times New Roman" w:cs="Times New Roman"/>
                <w:lang w:val="en-US" w:eastAsia="zh-CN" w:bidi="ar"/>
              </w:rPr>
              <w:t>、开展五华区辖区内管网的日常维管及检测工作，确保辖区内排水管网及附属设施正常运行；</w:t>
            </w:r>
            <w:r>
              <w:rPr>
                <w:rStyle w:val="12"/>
                <w:rFonts w:hint="default" w:ascii="Times New Roman" w:hAnsi="Times New Roman" w:eastAsia="宋体" w:cs="Times New Roman"/>
                <w:lang w:val="en-US" w:eastAsia="zh-CN" w:bidi="ar"/>
              </w:rPr>
              <w:t>2</w:t>
            </w:r>
            <w:r>
              <w:rPr>
                <w:rStyle w:val="13"/>
                <w:rFonts w:hint="default" w:ascii="Times New Roman" w:hAnsi="Times New Roman" w:cs="Times New Roman"/>
                <w:lang w:val="en-US" w:eastAsia="zh-CN" w:bidi="ar"/>
              </w:rPr>
              <w:t>、有计划的分步骤完成辖区内排水管网升级改造工作，提高人居环境，为生活安全做保障。</w:t>
            </w:r>
          </w:p>
        </w:tc>
        <w:tc>
          <w:tcPr>
            <w:tcW w:w="14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本项目执行率100</w:t>
            </w:r>
            <w:r>
              <w:rPr>
                <w:rStyle w:val="12"/>
                <w:rFonts w:hint="default" w:ascii="Times New Roman" w:hAnsi="Times New Roman" w:eastAsia="宋体" w:cs="Times New Roman"/>
                <w:lang w:val="en-US" w:eastAsia="zh-CN" w:bidi="ar"/>
              </w:rPr>
              <w:t>%</w:t>
            </w:r>
            <w:r>
              <w:rPr>
                <w:rStyle w:val="13"/>
                <w:rFonts w:hint="default" w:ascii="Times New Roman" w:hAnsi="Times New Roman" w:cs="Times New Roman"/>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绩</w:t>
            </w:r>
            <w:r>
              <w:rPr>
                <w:rStyle w:val="12"/>
                <w:rFonts w:hint="default" w:ascii="Times New Roman" w:hAnsi="Times New Roman" w:eastAsia="宋体" w:cs="Times New Roman"/>
                <w:lang w:val="en-US" w:eastAsia="zh-CN" w:bidi="ar"/>
              </w:rPr>
              <w:br w:type="textWrapping"/>
            </w:r>
            <w:r>
              <w:rPr>
                <w:rStyle w:val="13"/>
                <w:rFonts w:hint="default" w:ascii="Times New Roman" w:hAnsi="Times New Roman" w:cs="Times New Roman"/>
                <w:lang w:val="en-US" w:eastAsia="zh-CN" w:bidi="ar"/>
              </w:rPr>
              <w:t>效</w:t>
            </w:r>
            <w:r>
              <w:rPr>
                <w:rStyle w:val="12"/>
                <w:rFonts w:hint="default" w:ascii="Times New Roman" w:hAnsi="Times New Roman" w:eastAsia="宋体" w:cs="Times New Roman"/>
                <w:lang w:val="en-US" w:eastAsia="zh-CN" w:bidi="ar"/>
              </w:rPr>
              <w:br w:type="textWrapping"/>
            </w:r>
            <w:r>
              <w:rPr>
                <w:rStyle w:val="13"/>
                <w:rFonts w:hint="default" w:ascii="Times New Roman" w:hAnsi="Times New Roman" w:cs="Times New Roman"/>
                <w:lang w:val="en-US" w:eastAsia="zh-CN" w:bidi="ar"/>
              </w:rPr>
              <w:t>指</w:t>
            </w:r>
            <w:r>
              <w:rPr>
                <w:rStyle w:val="12"/>
                <w:rFonts w:hint="default" w:ascii="Times New Roman" w:hAnsi="Times New Roman" w:eastAsia="宋体" w:cs="Times New Roman"/>
                <w:lang w:val="en-US" w:eastAsia="zh-CN" w:bidi="ar"/>
              </w:rPr>
              <w:br w:type="textWrapping"/>
            </w:r>
            <w:r>
              <w:rPr>
                <w:rStyle w:val="13"/>
                <w:rFonts w:hint="default" w:ascii="Times New Roman" w:hAnsi="Times New Roman" w:cs="Times New Roman"/>
                <w:lang w:val="en-US" w:eastAsia="zh-CN" w:bidi="ar"/>
              </w:rPr>
              <w:t>标</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一级指标</w:t>
            </w:r>
          </w:p>
        </w:tc>
        <w:tc>
          <w:tcPr>
            <w:tcW w:w="11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二级指标</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三级指标</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年度</w:t>
            </w:r>
            <w:r>
              <w:rPr>
                <w:rStyle w:val="12"/>
                <w:rFonts w:hint="default" w:ascii="Times New Roman" w:hAnsi="Times New Roman" w:eastAsia="宋体" w:cs="Times New Roman"/>
                <w:lang w:val="en-US" w:eastAsia="zh-CN" w:bidi="ar"/>
              </w:rPr>
              <w:br w:type="textWrapping"/>
            </w:r>
            <w:r>
              <w:rPr>
                <w:rStyle w:val="13"/>
                <w:rFonts w:hint="default" w:ascii="Times New Roman" w:hAnsi="Times New Roman" w:cs="Times New Roman"/>
                <w:lang w:val="en-US" w:eastAsia="zh-CN" w:bidi="ar"/>
              </w:rPr>
              <w:t>指标值</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实际</w:t>
            </w:r>
            <w:r>
              <w:rPr>
                <w:rStyle w:val="12"/>
                <w:rFonts w:hint="default" w:ascii="Times New Roman" w:hAnsi="Times New Roman" w:eastAsia="宋体" w:cs="Times New Roman"/>
                <w:lang w:val="en-US" w:eastAsia="zh-CN" w:bidi="ar"/>
              </w:rPr>
              <w:br w:type="textWrapping"/>
            </w:r>
            <w:r>
              <w:rPr>
                <w:rStyle w:val="13"/>
                <w:rFonts w:hint="default" w:ascii="Times New Roman" w:hAnsi="Times New Roman" w:cs="Times New Roman"/>
                <w:lang w:val="en-US" w:eastAsia="zh-CN" w:bidi="ar"/>
              </w:rPr>
              <w:t>完成值</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偏差原因分析</w:t>
            </w:r>
            <w:r>
              <w:rPr>
                <w:rStyle w:val="12"/>
                <w:rFonts w:hint="default" w:ascii="Times New Roman" w:hAnsi="Times New Roman" w:eastAsia="宋体" w:cs="Times New Roman"/>
                <w:lang w:val="en-US" w:eastAsia="zh-CN" w:bidi="ar"/>
              </w:rPr>
              <w:br w:type="textWrapping"/>
            </w:r>
            <w:r>
              <w:rPr>
                <w:rStyle w:val="13"/>
                <w:rFonts w:hint="default" w:ascii="Times New Roman" w:hAnsi="Times New Roman" w:cs="Times New Roman"/>
                <w:lang w:val="en-US" w:eastAsia="zh-CN" w:bidi="ar"/>
              </w:rPr>
              <w:t>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5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产出指标（</w:t>
            </w:r>
            <w:r>
              <w:rPr>
                <w:rStyle w:val="12"/>
                <w:rFonts w:hint="default" w:ascii="Times New Roman" w:hAnsi="Times New Roman" w:eastAsia="宋体" w:cs="Times New Roman"/>
                <w:lang w:val="en-US" w:eastAsia="zh-CN" w:bidi="ar"/>
              </w:rPr>
              <w:t>50</w:t>
            </w:r>
            <w:r>
              <w:rPr>
                <w:rStyle w:val="14"/>
                <w:rFonts w:hint="default" w:ascii="Times New Roman" w:hAnsi="Times New Roman" w:cs="Times New Roman"/>
                <w:lang w:val="en-US" w:eastAsia="zh-CN" w:bidi="ar"/>
              </w:rPr>
              <w:t>％</w:t>
            </w:r>
            <w:r>
              <w:rPr>
                <w:rStyle w:val="13"/>
                <w:rFonts w:hint="default" w:ascii="Times New Roman" w:hAnsi="Times New Roman" w:cs="Times New Roman"/>
                <w:lang w:val="en-US" w:eastAsia="zh-CN" w:bidi="ar"/>
              </w:rPr>
              <w:t>）</w:t>
            </w:r>
          </w:p>
        </w:tc>
        <w:tc>
          <w:tcPr>
            <w:tcW w:w="11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数量指标</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维护公共排水泵站数量</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1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维护雨污调蓄池数量</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1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维护排水管渠长度</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825.5</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825.5</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1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质量指标</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排水管网养护维护完成率</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1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排水管网养护维护合格率</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时效指标</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项目完成时间</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1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成本指标</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预算执行率</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1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成本节约率</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5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效益指标（</w:t>
            </w:r>
            <w:r>
              <w:rPr>
                <w:rStyle w:val="12"/>
                <w:rFonts w:hint="default" w:ascii="Times New Roman" w:hAnsi="Times New Roman" w:eastAsia="宋体" w:cs="Times New Roman"/>
                <w:lang w:val="en-US" w:eastAsia="zh-CN" w:bidi="ar"/>
              </w:rPr>
              <w:t>30</w:t>
            </w:r>
            <w:r>
              <w:rPr>
                <w:rStyle w:val="13"/>
                <w:rFonts w:hint="default" w:ascii="Times New Roman" w:hAnsi="Times New Roman" w:cs="Times New Roman"/>
                <w:lang w:val="en-US" w:eastAsia="zh-CN" w:bidi="ar"/>
              </w:rPr>
              <w:t>％）</w:t>
            </w:r>
          </w:p>
        </w:tc>
        <w:tc>
          <w:tcPr>
            <w:tcW w:w="1128"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社会效益</w:t>
            </w:r>
            <w:r>
              <w:rPr>
                <w:rStyle w:val="12"/>
                <w:rFonts w:hint="default" w:ascii="Times New Roman" w:hAnsi="Times New Roman" w:eastAsia="宋体" w:cs="Times New Roman"/>
                <w:lang w:val="en-US" w:eastAsia="zh-CN" w:bidi="ar"/>
              </w:rPr>
              <w:br w:type="textWrapping"/>
            </w:r>
            <w:r>
              <w:rPr>
                <w:rStyle w:val="13"/>
                <w:rFonts w:hint="default" w:ascii="Times New Roman" w:hAnsi="Times New Roman" w:cs="Times New Roman"/>
                <w:lang w:val="en-US" w:eastAsia="zh-CN" w:bidi="ar"/>
              </w:rPr>
              <w:t>指标</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人民居住环境</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有所改善</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有所改善</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12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公共排水设施维护覆盖率</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满意度</w:t>
            </w:r>
            <w:r>
              <w:rPr>
                <w:rStyle w:val="12"/>
                <w:rFonts w:hint="default" w:ascii="Times New Roman" w:hAnsi="Times New Roman" w:eastAsia="宋体" w:cs="Times New Roman"/>
                <w:lang w:val="en-US" w:eastAsia="zh-CN" w:bidi="ar"/>
              </w:rPr>
              <w:br w:type="textWrapping"/>
            </w:r>
            <w:r>
              <w:rPr>
                <w:rStyle w:val="13"/>
                <w:rFonts w:hint="default" w:ascii="Times New Roman" w:hAnsi="Times New Roman" w:cs="Times New Roman"/>
                <w:lang w:val="en-US" w:eastAsia="zh-CN" w:bidi="ar"/>
              </w:rPr>
              <w:t>指标（</w:t>
            </w:r>
            <w:r>
              <w:rPr>
                <w:rStyle w:val="12"/>
                <w:rFonts w:hint="default" w:ascii="Times New Roman" w:hAnsi="Times New Roman" w:eastAsia="宋体" w:cs="Times New Roman"/>
                <w:lang w:val="en-US" w:eastAsia="zh-CN" w:bidi="ar"/>
              </w:rPr>
              <w:t>1</w:t>
            </w:r>
            <w:r>
              <w:rPr>
                <w:rStyle w:val="13"/>
                <w:rFonts w:hint="default" w:ascii="Times New Roman" w:hAnsi="Times New Roman" w:cs="Times New Roman"/>
                <w:lang w:val="en-US" w:eastAsia="zh-CN" w:bidi="ar"/>
              </w:rPr>
              <w:t>0％）</w:t>
            </w:r>
          </w:p>
        </w:tc>
        <w:tc>
          <w:tcPr>
            <w:tcW w:w="11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服务对象</w:t>
            </w:r>
            <w:r>
              <w:rPr>
                <w:rStyle w:val="12"/>
                <w:rFonts w:hint="default" w:ascii="Times New Roman" w:hAnsi="Times New Roman" w:eastAsia="宋体" w:cs="Times New Roman"/>
                <w:lang w:val="en-US" w:eastAsia="zh-CN" w:bidi="ar"/>
              </w:rPr>
              <w:br w:type="textWrapping"/>
            </w:r>
            <w:r>
              <w:rPr>
                <w:rStyle w:val="13"/>
                <w:rFonts w:hint="default" w:ascii="Times New Roman" w:hAnsi="Times New Roman" w:cs="Times New Roman"/>
                <w:lang w:val="en-US" w:eastAsia="zh-CN" w:bidi="ar"/>
              </w:rPr>
              <w:t>满意度指</w:t>
            </w:r>
            <w:r>
              <w:rPr>
                <w:rStyle w:val="12"/>
                <w:rFonts w:hint="default" w:ascii="Times New Roman" w:hAnsi="Times New Roman" w:eastAsia="宋体" w:cs="Times New Roman"/>
                <w:lang w:val="en-US" w:eastAsia="zh-CN" w:bidi="ar"/>
              </w:rPr>
              <w:br w:type="textWrapping"/>
            </w:r>
            <w:r>
              <w:rPr>
                <w:rStyle w:val="13"/>
                <w:rFonts w:hint="default" w:ascii="Times New Roman" w:hAnsi="Times New Roman" w:cs="Times New Roman"/>
                <w:lang w:val="en-US" w:eastAsia="zh-CN" w:bidi="ar"/>
              </w:rPr>
              <w:t>标</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人民群众满意度</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i w:val="0"/>
                <w:iCs w:val="0"/>
                <w:color w:val="000000"/>
                <w:sz w:val="20"/>
                <w:szCs w:val="20"/>
                <w:u w:val="none"/>
              </w:rPr>
            </w:pPr>
          </w:p>
        </w:tc>
      </w:tr>
    </w:tbl>
    <w:p>
      <w:pPr>
        <w:pStyle w:val="2"/>
        <w:numPr>
          <w:ilvl w:val="0"/>
          <w:numId w:val="0"/>
        </w:numPr>
        <w:spacing w:after="120"/>
        <w:rPr>
          <w:rFonts w:hint="default" w:ascii="Times New Roman" w:hAnsi="Times New Roman" w:cs="Times New Roman"/>
        </w:rPr>
      </w:pPr>
    </w:p>
    <w:p>
      <w:pPr>
        <w:keepNext w:val="0"/>
        <w:keepLines w:val="0"/>
        <w:pageBreakBefore w:val="0"/>
        <w:tabs>
          <w:tab w:val="left" w:pos="7513"/>
        </w:tabs>
        <w:kinsoku/>
        <w:wordWrap/>
        <w:overflowPunct/>
        <w:autoSpaceDE/>
        <w:autoSpaceDN/>
        <w:bidi w:val="0"/>
        <w:adjustRightInd/>
        <w:snapToGrid/>
        <w:spacing w:line="560" w:lineRule="exact"/>
        <w:ind w:firstLine="800" w:firstLineChars="25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2.绩效评价方法。</w:t>
      </w:r>
    </w:p>
    <w:p>
      <w:pPr>
        <w:keepNext w:val="0"/>
        <w:keepLines w:val="0"/>
        <w:pageBreakBefore w:val="0"/>
        <w:tabs>
          <w:tab w:val="left" w:pos="7513"/>
        </w:tabs>
        <w:kinsoku/>
        <w:wordWrap/>
        <w:overflowPunct/>
        <w:autoSpaceDE/>
        <w:autoSpaceDN/>
        <w:bidi w:val="0"/>
        <w:adjustRightInd/>
        <w:snapToGrid/>
        <w:spacing w:line="560" w:lineRule="exact"/>
        <w:ind w:firstLine="800" w:firstLineChars="250"/>
        <w:jc w:val="left"/>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lang w:val="en-US" w:eastAsia="zh-CN"/>
        </w:rPr>
        <w:t>1</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资金管理</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包括</w:t>
      </w:r>
      <w:r>
        <w:rPr>
          <w:rFonts w:hint="default" w:ascii="Times New Roman" w:hAnsi="Times New Roman" w:eastAsia="仿宋_GB2312" w:cs="Times New Roman"/>
          <w:spacing w:val="0"/>
          <w:sz w:val="32"/>
          <w:szCs w:val="32"/>
          <w:lang w:val="en-US" w:eastAsia="zh-CN"/>
        </w:rPr>
        <w:t>拨付</w:t>
      </w:r>
      <w:r>
        <w:rPr>
          <w:rFonts w:hint="default" w:ascii="Times New Roman" w:hAnsi="Times New Roman" w:eastAsia="仿宋_GB2312" w:cs="Times New Roman"/>
          <w:spacing w:val="0"/>
          <w:sz w:val="32"/>
          <w:szCs w:val="32"/>
          <w:lang w:eastAsia="zh-CN"/>
        </w:rPr>
        <w:t>资金</w:t>
      </w:r>
      <w:r>
        <w:rPr>
          <w:rFonts w:hint="default" w:ascii="Times New Roman" w:hAnsi="Times New Roman" w:eastAsia="仿宋_GB2312" w:cs="Times New Roman"/>
          <w:spacing w:val="0"/>
          <w:sz w:val="32"/>
          <w:szCs w:val="32"/>
        </w:rPr>
        <w:t>是否及时、基础数据是否准确，</w:t>
      </w:r>
      <w:r>
        <w:rPr>
          <w:rFonts w:hint="default" w:ascii="Times New Roman" w:hAnsi="Times New Roman" w:eastAsia="仿宋_GB2312" w:cs="Times New Roman"/>
          <w:spacing w:val="0"/>
          <w:sz w:val="32"/>
          <w:szCs w:val="32"/>
          <w:lang w:eastAsia="zh-CN"/>
        </w:rPr>
        <w:t>县</w:t>
      </w:r>
      <w:r>
        <w:rPr>
          <w:rFonts w:hint="default" w:ascii="Times New Roman" w:hAnsi="Times New Roman" w:eastAsia="仿宋_GB2312" w:cs="Times New Roman"/>
          <w:spacing w:val="0"/>
          <w:sz w:val="32"/>
          <w:szCs w:val="32"/>
        </w:rPr>
        <w:t>财政下达专项资金是否及时，</w:t>
      </w:r>
      <w:r>
        <w:rPr>
          <w:rFonts w:hint="default" w:ascii="Times New Roman" w:hAnsi="Times New Roman" w:eastAsia="仿宋_GB2312" w:cs="Times New Roman"/>
          <w:spacing w:val="0"/>
          <w:sz w:val="32"/>
          <w:szCs w:val="32"/>
          <w:lang w:eastAsia="zh-CN"/>
        </w:rPr>
        <w:t>县</w:t>
      </w:r>
      <w:r>
        <w:rPr>
          <w:rFonts w:hint="default" w:ascii="Times New Roman" w:hAnsi="Times New Roman" w:eastAsia="仿宋_GB2312" w:cs="Times New Roman"/>
          <w:spacing w:val="0"/>
          <w:sz w:val="32"/>
          <w:szCs w:val="32"/>
        </w:rPr>
        <w:t>财政部门是否安排补助资金，以及资金管理是否合法合规等</w:t>
      </w:r>
      <w:r>
        <w:rPr>
          <w:rFonts w:hint="default" w:ascii="Times New Roman" w:hAnsi="Times New Roman" w:eastAsia="仿宋_GB2312" w:cs="Times New Roman"/>
          <w:spacing w:val="0"/>
          <w:sz w:val="32"/>
          <w:szCs w:val="32"/>
          <w:lang w:eastAsia="zh-CN"/>
        </w:rPr>
        <w:t>。</w:t>
      </w:r>
    </w:p>
    <w:p>
      <w:pPr>
        <w:keepNext w:val="0"/>
        <w:keepLines w:val="0"/>
        <w:pageBreakBefore w:val="0"/>
        <w:tabs>
          <w:tab w:val="left" w:pos="7513"/>
        </w:tabs>
        <w:kinsoku/>
        <w:wordWrap/>
        <w:overflowPunct/>
        <w:autoSpaceDE/>
        <w:autoSpaceDN/>
        <w:bidi w:val="0"/>
        <w:adjustRightInd/>
        <w:snapToGrid/>
        <w:spacing w:line="560" w:lineRule="exact"/>
        <w:ind w:firstLine="800" w:firstLineChars="250"/>
        <w:jc w:val="left"/>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lang w:val="en-US" w:eastAsia="zh-CN"/>
        </w:rPr>
        <w:t>2</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项目管理</w:t>
      </w:r>
      <w:r>
        <w:rPr>
          <w:rFonts w:hint="default" w:ascii="Times New Roman" w:hAnsi="Times New Roman" w:eastAsia="仿宋_GB2312" w:cs="Times New Roman"/>
          <w:spacing w:val="0"/>
          <w:sz w:val="32"/>
          <w:szCs w:val="32"/>
          <w:lang w:eastAsia="zh-CN"/>
        </w:rPr>
        <w:t>。</w:t>
      </w:r>
    </w:p>
    <w:p>
      <w:pPr>
        <w:keepNext w:val="0"/>
        <w:keepLines w:val="0"/>
        <w:pageBreakBefore w:val="0"/>
        <w:tabs>
          <w:tab w:val="left" w:pos="7513"/>
        </w:tabs>
        <w:kinsoku/>
        <w:wordWrap/>
        <w:overflowPunct/>
        <w:autoSpaceDE/>
        <w:autoSpaceDN/>
        <w:bidi w:val="0"/>
        <w:adjustRightInd/>
        <w:snapToGrid/>
        <w:spacing w:line="560" w:lineRule="exact"/>
        <w:ind w:firstLine="800" w:firstLineChars="250"/>
        <w:jc w:val="left"/>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val="en-US" w:eastAsia="zh-CN"/>
        </w:rPr>
        <w:t>一是制定项目实施方案。</w:t>
      </w:r>
      <w:r>
        <w:rPr>
          <w:rFonts w:hint="default" w:ascii="Times New Roman" w:hAnsi="Times New Roman" w:eastAsia="仿宋_GB2312" w:cs="Times New Roman"/>
          <w:spacing w:val="0"/>
          <w:sz w:val="32"/>
          <w:szCs w:val="32"/>
          <w:lang w:eastAsia="zh-CN"/>
        </w:rPr>
        <w:t>该项目的实施进一步提升排水管的性能，给人们的生活和生产提供有力的保障。也逐步提升提高人居环境，提升人民生活幸福指数，为生活安全做保障。</w:t>
      </w:r>
    </w:p>
    <w:p>
      <w:pPr>
        <w:keepNext w:val="0"/>
        <w:keepLines w:val="0"/>
        <w:pageBreakBefore w:val="0"/>
        <w:tabs>
          <w:tab w:val="left" w:pos="7513"/>
        </w:tabs>
        <w:kinsoku/>
        <w:wordWrap/>
        <w:overflowPunct/>
        <w:autoSpaceDE/>
        <w:autoSpaceDN/>
        <w:bidi w:val="0"/>
        <w:adjustRightInd/>
        <w:snapToGrid/>
        <w:spacing w:line="560" w:lineRule="exact"/>
        <w:ind w:firstLine="800" w:firstLineChars="250"/>
        <w:jc w:val="left"/>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二是制定资金管理办法。根据实际情况制定项目资金管理办法，要求项目资金专款专用、专账核算。</w:t>
      </w:r>
    </w:p>
    <w:p>
      <w:pPr>
        <w:keepNext w:val="0"/>
        <w:keepLines w:val="0"/>
        <w:pageBreakBefore w:val="0"/>
        <w:tabs>
          <w:tab w:val="left" w:pos="7513"/>
        </w:tabs>
        <w:kinsoku/>
        <w:wordWrap/>
        <w:overflowPunct/>
        <w:autoSpaceDE/>
        <w:autoSpaceDN/>
        <w:bidi w:val="0"/>
        <w:adjustRightInd/>
        <w:snapToGrid/>
        <w:spacing w:line="560" w:lineRule="exact"/>
        <w:ind w:firstLine="800" w:firstLineChars="250"/>
        <w:jc w:val="left"/>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lang w:val="en-US" w:eastAsia="zh-CN"/>
        </w:rPr>
        <w:t>3</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项目效益</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包括开工情况、</w:t>
      </w:r>
      <w:r>
        <w:rPr>
          <w:rFonts w:hint="default" w:ascii="Times New Roman" w:hAnsi="Times New Roman" w:eastAsia="仿宋_GB2312" w:cs="Times New Roman"/>
          <w:spacing w:val="0"/>
          <w:sz w:val="32"/>
          <w:szCs w:val="32"/>
          <w:lang w:eastAsia="zh-CN"/>
        </w:rPr>
        <w:t>资金到位</w:t>
      </w:r>
      <w:r>
        <w:rPr>
          <w:rFonts w:hint="default" w:ascii="Times New Roman" w:hAnsi="Times New Roman" w:eastAsia="仿宋_GB2312" w:cs="Times New Roman"/>
          <w:spacing w:val="0"/>
          <w:sz w:val="32"/>
          <w:szCs w:val="32"/>
        </w:rPr>
        <w:t>情况、</w:t>
      </w:r>
      <w:r>
        <w:rPr>
          <w:rFonts w:hint="default" w:ascii="Times New Roman" w:hAnsi="Times New Roman" w:eastAsia="仿宋_GB2312" w:cs="Times New Roman"/>
          <w:spacing w:val="0"/>
          <w:sz w:val="32"/>
          <w:szCs w:val="32"/>
          <w:lang w:eastAsia="zh-CN"/>
        </w:rPr>
        <w:t>资金兑付情况</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eastAsia="zh-CN"/>
        </w:rPr>
        <w:t>工程验收情况</w:t>
      </w:r>
      <w:r>
        <w:rPr>
          <w:rFonts w:hint="default" w:ascii="Times New Roman" w:hAnsi="Times New Roman" w:eastAsia="仿宋_GB2312" w:cs="Times New Roman"/>
          <w:spacing w:val="0"/>
          <w:sz w:val="32"/>
          <w:szCs w:val="32"/>
        </w:rPr>
        <w:t>等</w:t>
      </w:r>
      <w:r>
        <w:rPr>
          <w:rFonts w:hint="default" w:ascii="Times New Roman" w:hAnsi="Times New Roman" w:eastAsia="仿宋_GB2312" w:cs="Times New Roman"/>
          <w:spacing w:val="0"/>
          <w:sz w:val="32"/>
          <w:szCs w:val="32"/>
          <w:lang w:eastAsia="zh-CN"/>
        </w:rPr>
        <w:t>。</w:t>
      </w:r>
    </w:p>
    <w:p>
      <w:pPr>
        <w:pStyle w:val="10"/>
        <w:numPr>
          <w:ilvl w:val="0"/>
          <w:numId w:val="0"/>
        </w:numPr>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三、综合评价情况及评价结论（附相关评分表）</w:t>
      </w:r>
    </w:p>
    <w:p>
      <w:pPr>
        <w:pStyle w:val="2"/>
        <w:numPr>
          <w:ilvl w:val="0"/>
          <w:numId w:val="0"/>
        </w:numPr>
        <w:spacing w:after="120"/>
        <w:rPr>
          <w:rFonts w:hint="default" w:ascii="Times New Roman" w:hAnsi="Times New Roman" w:cs="Times New Roman"/>
        </w:rPr>
      </w:pPr>
    </w:p>
    <w:tbl>
      <w:tblPr>
        <w:tblStyle w:val="8"/>
        <w:tblpPr w:leftFromText="180" w:rightFromText="180" w:vertAnchor="text" w:horzAnchor="page" w:tblpXSpec="center" w:tblpY="258"/>
        <w:tblOverlap w:val="never"/>
        <w:tblW w:w="90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13"/>
        <w:gridCol w:w="749"/>
        <w:gridCol w:w="1597"/>
        <w:gridCol w:w="623"/>
        <w:gridCol w:w="2514"/>
        <w:gridCol w:w="1335"/>
        <w:gridCol w:w="7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一级指标</w:t>
            </w:r>
          </w:p>
        </w:tc>
        <w:tc>
          <w:tcPr>
            <w:tcW w:w="749" w:type="dxa"/>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二级指标</w:t>
            </w:r>
          </w:p>
        </w:tc>
        <w:tc>
          <w:tcPr>
            <w:tcW w:w="623"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分值</w:t>
            </w:r>
          </w:p>
        </w:tc>
        <w:tc>
          <w:tcPr>
            <w:tcW w:w="251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三级指标</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分值</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决策</w:t>
            </w:r>
          </w:p>
        </w:tc>
        <w:tc>
          <w:tcPr>
            <w:tcW w:w="749" w:type="dxa"/>
            <w:vMerge w:val="restart"/>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40</w:t>
            </w:r>
          </w:p>
        </w:tc>
        <w:tc>
          <w:tcPr>
            <w:tcW w:w="1597" w:type="dxa"/>
            <w:vMerge w:val="restart"/>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项目立项</w:t>
            </w:r>
          </w:p>
        </w:tc>
        <w:tc>
          <w:tcPr>
            <w:tcW w:w="623" w:type="dxa"/>
            <w:vMerge w:val="restart"/>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cs="Times New Roman"/>
                <w:color w:val="000000"/>
                <w:sz w:val="18"/>
                <w:szCs w:val="18"/>
                <w:lang w:val="en-US" w:eastAsia="zh-CN"/>
              </w:rPr>
              <w:t>8</w:t>
            </w:r>
          </w:p>
        </w:tc>
        <w:tc>
          <w:tcPr>
            <w:tcW w:w="2514"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立项依据充分性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4</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749" w:type="dxa"/>
            <w:vMerge w:val="continue"/>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623" w:type="dxa"/>
            <w:vMerge w:val="continue"/>
            <w:tcBorders>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p>
        </w:tc>
        <w:tc>
          <w:tcPr>
            <w:tcW w:w="2514"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立项程序规范性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4</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749" w:type="dxa"/>
            <w:vMerge w:val="continue"/>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597" w:type="dxa"/>
            <w:vMerge w:val="restart"/>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绩效目标</w:t>
            </w:r>
          </w:p>
        </w:tc>
        <w:tc>
          <w:tcPr>
            <w:tcW w:w="623" w:type="dxa"/>
            <w:vMerge w:val="restart"/>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cs="Times New Roman"/>
                <w:color w:val="000000"/>
                <w:sz w:val="18"/>
                <w:szCs w:val="18"/>
                <w:lang w:val="en-US" w:eastAsia="zh-CN"/>
              </w:rPr>
              <w:t>8</w:t>
            </w:r>
          </w:p>
        </w:tc>
        <w:tc>
          <w:tcPr>
            <w:tcW w:w="2514"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绩效目标合理性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4</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749" w:type="dxa"/>
            <w:vMerge w:val="continue"/>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623" w:type="dxa"/>
            <w:vMerge w:val="continue"/>
            <w:tcBorders>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p>
        </w:tc>
        <w:tc>
          <w:tcPr>
            <w:tcW w:w="2514"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绩效指标明确性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4</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749"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资金投入</w:t>
            </w:r>
          </w:p>
        </w:tc>
        <w:tc>
          <w:tcPr>
            <w:tcW w:w="623"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cs="Times New Roman"/>
                <w:color w:val="000000"/>
                <w:sz w:val="18"/>
                <w:szCs w:val="18"/>
                <w:lang w:val="en-US" w:eastAsia="zh-CN"/>
              </w:rPr>
              <w:t>8</w:t>
            </w:r>
          </w:p>
        </w:tc>
        <w:tc>
          <w:tcPr>
            <w:tcW w:w="2514"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预算编制科学性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4</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749"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623"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p>
        </w:tc>
        <w:tc>
          <w:tcPr>
            <w:tcW w:w="2514"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资金分配合理性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4</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过程</w:t>
            </w:r>
          </w:p>
        </w:tc>
        <w:tc>
          <w:tcPr>
            <w:tcW w:w="749" w:type="dxa"/>
            <w:vMerge w:val="continue"/>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资金管理</w:t>
            </w:r>
          </w:p>
        </w:tc>
        <w:tc>
          <w:tcPr>
            <w:tcW w:w="623"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cs="Times New Roman"/>
                <w:color w:val="000000"/>
                <w:sz w:val="18"/>
                <w:szCs w:val="18"/>
                <w:lang w:val="en-US" w:eastAsia="zh-CN"/>
              </w:rPr>
              <w:t>7</w:t>
            </w:r>
          </w:p>
        </w:tc>
        <w:tc>
          <w:tcPr>
            <w:tcW w:w="2514"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资金到位率</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4</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749"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color w:val="000000"/>
                <w:sz w:val="18"/>
                <w:szCs w:val="18"/>
              </w:rPr>
            </w:pPr>
          </w:p>
        </w:tc>
        <w:tc>
          <w:tcPr>
            <w:tcW w:w="623"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p>
        </w:tc>
        <w:tc>
          <w:tcPr>
            <w:tcW w:w="2514"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预算执行率</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3</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749"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资金管理</w:t>
            </w:r>
          </w:p>
        </w:tc>
        <w:tc>
          <w:tcPr>
            <w:tcW w:w="623"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3</w:t>
            </w:r>
          </w:p>
        </w:tc>
        <w:tc>
          <w:tcPr>
            <w:tcW w:w="2514"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资金使用合规性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3</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749"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97" w:type="dxa"/>
            <w:vMerge w:val="restart"/>
            <w:tcBorders>
              <w:top w:val="single" w:color="000000" w:sz="4" w:space="0"/>
              <w:left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组织实施　</w:t>
            </w:r>
          </w:p>
        </w:tc>
        <w:tc>
          <w:tcPr>
            <w:tcW w:w="623" w:type="dxa"/>
            <w:vMerge w:val="restart"/>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sz w:val="18"/>
                <w:szCs w:val="18"/>
              </w:rPr>
            </w:pPr>
            <w:r>
              <w:rPr>
                <w:rFonts w:hint="default" w:ascii="Times New Roman" w:hAnsi="Times New Roman" w:cs="Times New Roman"/>
                <w:color w:val="000000"/>
                <w:sz w:val="18"/>
                <w:szCs w:val="18"/>
                <w:lang w:val="en-US" w:eastAsia="zh-CN"/>
              </w:rPr>
              <w:t>6</w:t>
            </w:r>
          </w:p>
        </w:tc>
        <w:tc>
          <w:tcPr>
            <w:tcW w:w="2514"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管理制度健全性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3</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749" w:type="dxa"/>
            <w:vMerge w:val="continue"/>
            <w:tcBorders>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623" w:type="dxa"/>
            <w:vMerge w:val="continue"/>
            <w:tcBorders>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p>
        </w:tc>
        <w:tc>
          <w:tcPr>
            <w:tcW w:w="2514" w:type="dxa"/>
            <w:tcBorders>
              <w:top w:val="single" w:color="000000" w:sz="4" w:space="0"/>
              <w:left w:val="single" w:color="000000" w:sz="4" w:space="0"/>
              <w:bottom w:val="single" w:color="auto"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制度执行有效性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3</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w:t>
            </w:r>
          </w:p>
        </w:tc>
        <w:tc>
          <w:tcPr>
            <w:tcW w:w="749"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产出数量</w:t>
            </w:r>
          </w:p>
        </w:tc>
        <w:tc>
          <w:tcPr>
            <w:tcW w:w="623" w:type="dxa"/>
            <w:tcBorders>
              <w:top w:val="single" w:color="000000" w:sz="4" w:space="0"/>
              <w:left w:val="single" w:color="000000" w:sz="4" w:space="0"/>
              <w:bottom w:val="single" w:color="000000" w:sz="4" w:space="0"/>
              <w:right w:val="single" w:color="auto"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6</w:t>
            </w:r>
          </w:p>
        </w:tc>
        <w:tc>
          <w:tcPr>
            <w:tcW w:w="2514" w:type="dxa"/>
            <w:tcBorders>
              <w:top w:val="single" w:color="auto" w:sz="4" w:space="0"/>
              <w:left w:val="single" w:color="auto" w:sz="4" w:space="0"/>
              <w:bottom w:val="single" w:color="auto" w:sz="4" w:space="0"/>
              <w:right w:val="single" w:color="auto"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维护公共排水泵站</w:t>
            </w:r>
            <w:r>
              <w:rPr>
                <w:rFonts w:hint="default" w:ascii="Times New Roman" w:hAnsi="Times New Roman" w:cs="Times New Roman"/>
                <w:color w:val="000000"/>
                <w:sz w:val="18"/>
                <w:szCs w:val="18"/>
                <w:lang w:val="en-US" w:eastAsia="zh-CN"/>
              </w:rPr>
              <w:t>8座</w:t>
            </w:r>
          </w:p>
        </w:tc>
        <w:tc>
          <w:tcPr>
            <w:tcW w:w="1335" w:type="dxa"/>
            <w:tcBorders>
              <w:top w:val="single" w:color="000000" w:sz="4" w:space="0"/>
              <w:left w:val="single" w:color="auto"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6</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749" w:type="dxa"/>
            <w:vMerge w:val="continue"/>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产出数量</w:t>
            </w:r>
          </w:p>
        </w:tc>
        <w:tc>
          <w:tcPr>
            <w:tcW w:w="623" w:type="dxa"/>
            <w:tcBorders>
              <w:top w:val="single" w:color="000000" w:sz="4" w:space="0"/>
              <w:left w:val="single" w:color="000000" w:sz="4" w:space="0"/>
              <w:bottom w:val="single" w:color="000000" w:sz="4" w:space="0"/>
              <w:right w:val="single" w:color="auto"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6</w:t>
            </w:r>
          </w:p>
        </w:tc>
        <w:tc>
          <w:tcPr>
            <w:tcW w:w="2514" w:type="dxa"/>
            <w:tcBorders>
              <w:top w:val="single" w:color="auto" w:sz="4" w:space="0"/>
              <w:left w:val="single" w:color="auto" w:sz="4" w:space="0"/>
              <w:bottom w:val="single" w:color="auto" w:sz="4" w:space="0"/>
              <w:right w:val="single" w:color="auto"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维护雨污调蓄池</w:t>
            </w:r>
            <w:r>
              <w:rPr>
                <w:rFonts w:hint="default" w:ascii="Times New Roman" w:hAnsi="Times New Roman" w:cs="Times New Roman"/>
                <w:color w:val="000000"/>
                <w:sz w:val="18"/>
                <w:szCs w:val="18"/>
                <w:lang w:val="en-US" w:eastAsia="zh-CN"/>
              </w:rPr>
              <w:t>6座</w:t>
            </w:r>
          </w:p>
        </w:tc>
        <w:tc>
          <w:tcPr>
            <w:tcW w:w="1335" w:type="dxa"/>
            <w:tcBorders>
              <w:top w:val="single" w:color="000000" w:sz="4" w:space="0"/>
              <w:left w:val="single" w:color="auto"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6</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749" w:type="dxa"/>
            <w:vMerge w:val="continue"/>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产出数量</w:t>
            </w:r>
          </w:p>
        </w:tc>
        <w:tc>
          <w:tcPr>
            <w:tcW w:w="623" w:type="dxa"/>
            <w:tcBorders>
              <w:top w:val="single" w:color="000000" w:sz="4" w:space="0"/>
              <w:left w:val="single" w:color="000000" w:sz="4" w:space="0"/>
              <w:bottom w:val="single" w:color="000000" w:sz="4" w:space="0"/>
              <w:right w:val="single" w:color="auto"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6</w:t>
            </w:r>
          </w:p>
        </w:tc>
        <w:tc>
          <w:tcPr>
            <w:tcW w:w="2514" w:type="dxa"/>
            <w:tcBorders>
              <w:top w:val="single" w:color="auto" w:sz="4" w:space="0"/>
              <w:left w:val="single" w:color="auto" w:sz="4" w:space="0"/>
              <w:bottom w:val="single" w:color="auto" w:sz="4" w:space="0"/>
              <w:right w:val="single" w:color="auto"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维护排水管渠长度1102.88km</w:t>
            </w:r>
          </w:p>
        </w:tc>
        <w:tc>
          <w:tcPr>
            <w:tcW w:w="1335" w:type="dxa"/>
            <w:tcBorders>
              <w:top w:val="single" w:color="000000" w:sz="4" w:space="0"/>
              <w:left w:val="single" w:color="auto"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6</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74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产出质量</w:t>
            </w:r>
          </w:p>
        </w:tc>
        <w:tc>
          <w:tcPr>
            <w:tcW w:w="623" w:type="dxa"/>
            <w:tcBorders>
              <w:top w:val="single" w:color="000000" w:sz="4" w:space="0"/>
              <w:left w:val="single" w:color="000000" w:sz="4" w:space="0"/>
              <w:bottom w:val="single" w:color="000000" w:sz="4" w:space="0"/>
              <w:right w:val="single" w:color="auto"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6</w:t>
            </w:r>
          </w:p>
        </w:tc>
        <w:tc>
          <w:tcPr>
            <w:tcW w:w="2514" w:type="dxa"/>
            <w:tcBorders>
              <w:top w:val="single" w:color="auto" w:sz="4" w:space="0"/>
              <w:left w:val="single" w:color="auto" w:sz="4" w:space="0"/>
              <w:bottom w:val="single" w:color="auto" w:sz="4" w:space="0"/>
              <w:right w:val="single" w:color="auto"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排水管网养护维护合格率</w:t>
            </w:r>
            <w:r>
              <w:rPr>
                <w:rFonts w:hint="default" w:ascii="Times New Roman" w:hAnsi="Times New Roman" w:cs="Times New Roman"/>
                <w:color w:val="000000"/>
                <w:sz w:val="18"/>
                <w:szCs w:val="18"/>
                <w:lang w:val="en-US" w:eastAsia="zh-CN"/>
              </w:rPr>
              <w:t>100%</w:t>
            </w:r>
          </w:p>
        </w:tc>
        <w:tc>
          <w:tcPr>
            <w:tcW w:w="1335" w:type="dxa"/>
            <w:tcBorders>
              <w:top w:val="single" w:color="000000" w:sz="4" w:space="0"/>
              <w:left w:val="single" w:color="auto"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6</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74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产出时效</w:t>
            </w:r>
          </w:p>
        </w:tc>
        <w:tc>
          <w:tcPr>
            <w:tcW w:w="623" w:type="dxa"/>
            <w:tcBorders>
              <w:top w:val="single" w:color="000000" w:sz="4" w:space="0"/>
              <w:left w:val="single" w:color="000000" w:sz="4" w:space="0"/>
              <w:bottom w:val="single" w:color="000000" w:sz="4" w:space="0"/>
              <w:right w:val="single" w:color="auto"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6</w:t>
            </w:r>
          </w:p>
        </w:tc>
        <w:tc>
          <w:tcPr>
            <w:tcW w:w="2514" w:type="dxa"/>
            <w:tcBorders>
              <w:top w:val="single" w:color="auto" w:sz="4" w:space="0"/>
              <w:left w:val="single" w:color="auto" w:sz="4" w:space="0"/>
              <w:bottom w:val="single" w:color="auto" w:sz="4" w:space="0"/>
              <w:right w:val="single" w:color="auto"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2022年度完成项目</w:t>
            </w:r>
          </w:p>
        </w:tc>
        <w:tc>
          <w:tcPr>
            <w:tcW w:w="1335" w:type="dxa"/>
            <w:tcBorders>
              <w:top w:val="single" w:color="000000" w:sz="4" w:space="0"/>
              <w:left w:val="single" w:color="auto"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6</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74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产出成本</w:t>
            </w:r>
          </w:p>
        </w:tc>
        <w:tc>
          <w:tcPr>
            <w:tcW w:w="623" w:type="dxa"/>
            <w:tcBorders>
              <w:top w:val="single" w:color="000000" w:sz="4" w:space="0"/>
              <w:left w:val="single" w:color="000000" w:sz="4" w:space="0"/>
              <w:bottom w:val="single" w:color="000000" w:sz="4" w:space="0"/>
              <w:right w:val="single" w:color="auto"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r>
              <w:rPr>
                <w:rFonts w:hint="default" w:ascii="Times New Roman" w:hAnsi="Times New Roman" w:cs="Times New Roman"/>
                <w:color w:val="000000"/>
                <w:sz w:val="18"/>
                <w:szCs w:val="18"/>
                <w:lang w:val="en-US" w:eastAsia="zh-CN"/>
              </w:rPr>
              <w:t>7</w:t>
            </w:r>
          </w:p>
        </w:tc>
        <w:tc>
          <w:tcPr>
            <w:tcW w:w="2514" w:type="dxa"/>
            <w:tcBorders>
              <w:top w:val="single" w:color="auto" w:sz="4" w:space="0"/>
              <w:left w:val="single" w:color="auto" w:sz="4" w:space="0"/>
              <w:bottom w:val="single" w:color="auto" w:sz="4" w:space="0"/>
              <w:right w:val="single" w:color="auto"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预算执行率</w:t>
            </w:r>
            <w:r>
              <w:rPr>
                <w:rFonts w:hint="default" w:ascii="Times New Roman" w:hAnsi="Times New Roman" w:cs="Times New Roman"/>
                <w:color w:val="000000"/>
                <w:sz w:val="18"/>
                <w:szCs w:val="18"/>
                <w:lang w:val="en-US" w:eastAsia="zh-CN"/>
              </w:rPr>
              <w:t>100%</w:t>
            </w:r>
          </w:p>
        </w:tc>
        <w:tc>
          <w:tcPr>
            <w:tcW w:w="1335" w:type="dxa"/>
            <w:tcBorders>
              <w:top w:val="single" w:color="000000" w:sz="4" w:space="0"/>
              <w:left w:val="single" w:color="auto"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color w:val="000000"/>
                <w:sz w:val="18"/>
                <w:szCs w:val="18"/>
                <w:lang w:val="en-US" w:eastAsia="zh-CN"/>
              </w:rPr>
              <w:t>7</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color w:val="000000"/>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效益</w:t>
            </w:r>
          </w:p>
        </w:tc>
        <w:tc>
          <w:tcPr>
            <w:tcW w:w="74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rPr>
              <w:t>社会效益</w:t>
            </w:r>
          </w:p>
        </w:tc>
        <w:tc>
          <w:tcPr>
            <w:tcW w:w="623" w:type="dxa"/>
            <w:tcBorders>
              <w:top w:val="single" w:color="000000" w:sz="4" w:space="0"/>
              <w:left w:val="single" w:color="000000" w:sz="4" w:space="0"/>
              <w:bottom w:val="single" w:color="000000" w:sz="4" w:space="0"/>
              <w:right w:val="single" w:color="auto"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r>
              <w:rPr>
                <w:rFonts w:hint="default" w:ascii="Times New Roman" w:hAnsi="Times New Roman" w:cs="Times New Roman"/>
                <w:color w:val="000000"/>
                <w:sz w:val="18"/>
                <w:szCs w:val="18"/>
                <w:lang w:val="en-US" w:eastAsia="zh-CN"/>
              </w:rPr>
              <w:t>7</w:t>
            </w:r>
          </w:p>
        </w:tc>
        <w:tc>
          <w:tcPr>
            <w:tcW w:w="2514" w:type="dxa"/>
            <w:tcBorders>
              <w:top w:val="single" w:color="auto" w:sz="4" w:space="0"/>
              <w:left w:val="single" w:color="auto" w:sz="4" w:space="0"/>
              <w:bottom w:val="single" w:color="auto" w:sz="4" w:space="0"/>
              <w:right w:val="single" w:color="auto"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人民居住环境</w:t>
            </w:r>
            <w:r>
              <w:rPr>
                <w:rFonts w:hint="default" w:ascii="Times New Roman" w:hAnsi="Times New Roman" w:cs="Times New Roman"/>
                <w:color w:val="000000"/>
                <w:sz w:val="18"/>
                <w:szCs w:val="18"/>
                <w:lang w:val="en-US" w:eastAsia="zh-CN"/>
              </w:rPr>
              <w:t>有所改善</w:t>
            </w:r>
          </w:p>
        </w:tc>
        <w:tc>
          <w:tcPr>
            <w:tcW w:w="1335" w:type="dxa"/>
            <w:tcBorders>
              <w:top w:val="single" w:color="000000" w:sz="4" w:space="0"/>
              <w:left w:val="single" w:color="auto"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color w:val="000000"/>
                <w:sz w:val="18"/>
                <w:szCs w:val="18"/>
                <w:lang w:val="en-US" w:eastAsia="zh-CN"/>
              </w:rPr>
              <w:t>7</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color w:val="000000"/>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74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rPr>
              <w:t>社会效益</w:t>
            </w:r>
          </w:p>
        </w:tc>
        <w:tc>
          <w:tcPr>
            <w:tcW w:w="623" w:type="dxa"/>
            <w:tcBorders>
              <w:top w:val="single" w:color="000000" w:sz="4" w:space="0"/>
              <w:left w:val="single" w:color="000000" w:sz="4" w:space="0"/>
              <w:bottom w:val="single" w:color="000000" w:sz="4" w:space="0"/>
              <w:right w:val="single" w:color="auto"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r>
              <w:rPr>
                <w:rFonts w:hint="default" w:ascii="Times New Roman" w:hAnsi="Times New Roman" w:cs="Times New Roman"/>
                <w:color w:val="000000"/>
                <w:sz w:val="18"/>
                <w:szCs w:val="18"/>
                <w:lang w:val="en-US" w:eastAsia="zh-CN"/>
              </w:rPr>
              <w:t>7</w:t>
            </w:r>
          </w:p>
        </w:tc>
        <w:tc>
          <w:tcPr>
            <w:tcW w:w="2514" w:type="dxa"/>
            <w:tcBorders>
              <w:top w:val="single" w:color="auto" w:sz="4" w:space="0"/>
              <w:left w:val="single" w:color="auto" w:sz="4" w:space="0"/>
              <w:bottom w:val="single" w:color="auto" w:sz="4" w:space="0"/>
              <w:right w:val="single" w:color="auto"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公共排水设施维护覆盖率</w:t>
            </w:r>
            <w:r>
              <w:rPr>
                <w:rFonts w:hint="default" w:ascii="Times New Roman" w:hAnsi="Times New Roman" w:cs="Times New Roman"/>
                <w:color w:val="000000"/>
                <w:sz w:val="18"/>
                <w:szCs w:val="18"/>
                <w:lang w:val="en-US" w:eastAsia="zh-CN"/>
              </w:rPr>
              <w:t>100%</w:t>
            </w:r>
          </w:p>
        </w:tc>
        <w:tc>
          <w:tcPr>
            <w:tcW w:w="1335" w:type="dxa"/>
            <w:tcBorders>
              <w:top w:val="single" w:color="000000" w:sz="4" w:space="0"/>
              <w:left w:val="single" w:color="auto"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color w:val="000000"/>
                <w:sz w:val="18"/>
                <w:szCs w:val="18"/>
                <w:lang w:val="en-US" w:eastAsia="zh-CN"/>
              </w:rPr>
              <w:t>7</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color w:val="000000"/>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vMerge w:val="continue"/>
            <w:tcBorders>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74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rPr>
              <w:t>满意度</w:t>
            </w:r>
          </w:p>
        </w:tc>
        <w:tc>
          <w:tcPr>
            <w:tcW w:w="6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Times New Roman" w:hAnsi="Times New Roman" w:eastAsia="宋体" w:cs="Times New Roman"/>
                <w:sz w:val="18"/>
                <w:szCs w:val="18"/>
              </w:rPr>
            </w:pPr>
            <w:r>
              <w:rPr>
                <w:rFonts w:hint="default" w:ascii="Times New Roman" w:hAnsi="Times New Roman" w:cs="Times New Roman"/>
                <w:color w:val="000000"/>
                <w:sz w:val="18"/>
                <w:szCs w:val="18"/>
                <w:lang w:val="en-US" w:eastAsia="zh-CN"/>
              </w:rPr>
              <w:t>7</w:t>
            </w:r>
          </w:p>
        </w:tc>
        <w:tc>
          <w:tcPr>
            <w:tcW w:w="251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社会公众或服务对象满意度</w:t>
            </w:r>
            <w:r>
              <w:rPr>
                <w:rFonts w:hint="default" w:ascii="Times New Roman" w:hAnsi="Times New Roman" w:eastAsia="宋体" w:cs="Times New Roman"/>
                <w:color w:val="000000"/>
                <w:sz w:val="18"/>
                <w:szCs w:val="18"/>
                <w:lang w:val="en-US" w:eastAsia="zh-CN"/>
              </w:rPr>
              <w:t>90%以上</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color w:val="000000"/>
                <w:sz w:val="18"/>
                <w:szCs w:val="18"/>
                <w:lang w:val="en-US" w:eastAsia="zh-CN"/>
              </w:rPr>
              <w:t>7</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color w:val="000000"/>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13"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总分</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p>
        </w:tc>
        <w:tc>
          <w:tcPr>
            <w:tcW w:w="623"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100</w:t>
            </w:r>
          </w:p>
        </w:tc>
        <w:tc>
          <w:tcPr>
            <w:tcW w:w="251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100</w:t>
            </w:r>
          </w:p>
        </w:tc>
        <w:tc>
          <w:tcPr>
            <w:tcW w:w="78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lang w:val="en-US" w:eastAsia="zh-CN"/>
              </w:rPr>
            </w:pPr>
            <w:r>
              <w:rPr>
                <w:rFonts w:hint="default" w:ascii="Times New Roman" w:hAnsi="Times New Roman" w:cs="Times New Roman"/>
                <w:bCs/>
                <w:color w:val="000000"/>
                <w:sz w:val="18"/>
                <w:szCs w:val="18"/>
                <w:lang w:val="en-US" w:eastAsia="zh-CN"/>
              </w:rPr>
              <w:t>100</w:t>
            </w:r>
          </w:p>
        </w:tc>
      </w:tr>
    </w:tbl>
    <w:p>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绩效评价指标分析</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Chars="200" w:right="0" w:rightChars="0" w:firstLine="320" w:firstLineChars="1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一）</w:t>
      </w:r>
      <w:r>
        <w:rPr>
          <w:rFonts w:hint="default" w:ascii="Times New Roman" w:hAnsi="Times New Roman" w:eastAsia="仿宋_GB2312" w:cs="Times New Roman"/>
          <w:color w:val="auto"/>
          <w:sz w:val="32"/>
          <w:szCs w:val="32"/>
          <w:highlight w:val="none"/>
        </w:rPr>
        <w:t>项目决策情况分析</w:t>
      </w:r>
      <w:r>
        <w:rPr>
          <w:rFonts w:hint="default" w:ascii="Times New Roman" w:hAnsi="Times New Roman" w:eastAsia="仿宋_GB2312" w:cs="Times New Roman"/>
          <w:color w:val="auto"/>
          <w:sz w:val="32"/>
          <w:szCs w:val="32"/>
          <w:highlight w:val="none"/>
          <w:lang w:eastAsia="zh-CN"/>
        </w:rPr>
        <w:t>。</w:t>
      </w:r>
    </w:p>
    <w:p>
      <w:pPr>
        <w:pStyle w:val="2"/>
        <w:ind w:left="0" w:leftChars="0" w:firstLine="640" w:firstLineChars="200"/>
        <w:rPr>
          <w:rFonts w:hint="default" w:ascii="Times New Roman" w:hAnsi="Times New Roman" w:eastAsia="仿宋_GB2312" w:cs="Times New Roman"/>
          <w:spacing w:val="0"/>
          <w:sz w:val="32"/>
          <w:szCs w:val="32"/>
          <w:highlight w:val="none"/>
          <w:lang w:eastAsia="zh-CN"/>
        </w:rPr>
      </w:pPr>
      <w:r>
        <w:rPr>
          <w:rFonts w:hint="default" w:ascii="Times New Roman" w:hAnsi="Times New Roman" w:eastAsia="仿宋_GB2312" w:cs="Times New Roman"/>
          <w:spacing w:val="0"/>
          <w:sz w:val="32"/>
          <w:szCs w:val="32"/>
          <w:highlight w:val="none"/>
          <w:lang w:val="en-US" w:eastAsia="zh-CN"/>
        </w:rPr>
        <w:t>排水管网管养专项经费</w:t>
      </w:r>
      <w:r>
        <w:rPr>
          <w:rFonts w:hint="default" w:ascii="Times New Roman" w:hAnsi="Times New Roman" w:eastAsia="仿宋_GB2312" w:cs="Times New Roman"/>
          <w:spacing w:val="0"/>
          <w:sz w:val="32"/>
          <w:szCs w:val="32"/>
          <w:highlight w:val="none"/>
        </w:rPr>
        <w:t>项目立项依据充分</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程序规范</w:t>
      </w:r>
      <w:r>
        <w:rPr>
          <w:rFonts w:hint="default" w:ascii="Times New Roman" w:hAnsi="Times New Roman" w:eastAsia="仿宋_GB2312" w:cs="Times New Roman"/>
          <w:spacing w:val="0"/>
          <w:sz w:val="32"/>
          <w:szCs w:val="32"/>
          <w:highlight w:val="none"/>
          <w:lang w:eastAsia="zh-CN"/>
        </w:rPr>
        <w:t>。</w:t>
      </w:r>
    </w:p>
    <w:p>
      <w:pPr>
        <w:pStyle w:val="2"/>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rPr>
        <w:t>项目过程情况分析。</w:t>
      </w:r>
    </w:p>
    <w:p>
      <w:pPr>
        <w:pStyle w:val="2"/>
        <w:numPr>
          <w:ilvl w:val="0"/>
          <w:numId w:val="0"/>
        </w:numPr>
        <w:ind w:firstLine="640" w:firstLineChars="200"/>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排水管网管养专项经费</w:t>
      </w:r>
      <w:r>
        <w:rPr>
          <w:rFonts w:hint="default" w:ascii="Times New Roman" w:hAnsi="Times New Roman" w:eastAsia="仿宋_GB2312" w:cs="Times New Roman"/>
          <w:spacing w:val="0"/>
          <w:sz w:val="32"/>
          <w:szCs w:val="32"/>
          <w:highlight w:val="none"/>
        </w:rPr>
        <w:t>项</w:t>
      </w:r>
      <w:r>
        <w:rPr>
          <w:rFonts w:hint="default" w:ascii="Times New Roman" w:hAnsi="Times New Roman" w:eastAsia="仿宋_GB2312" w:cs="Times New Roman"/>
          <w:spacing w:val="0"/>
          <w:sz w:val="32"/>
          <w:szCs w:val="32"/>
          <w:highlight w:val="none"/>
          <w:lang w:val="en-US" w:eastAsia="zh-CN"/>
        </w:rPr>
        <w:t>目资金到位及时、预算执行100%、资金使用合规、管理制度健全、制度执行有效。</w:t>
      </w:r>
    </w:p>
    <w:p>
      <w:pPr>
        <w:pStyle w:val="2"/>
        <w:numPr>
          <w:ilvl w:val="0"/>
          <w:numId w:val="0"/>
        </w:num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rPr>
        <w:t>项目产出情况分析。</w:t>
      </w:r>
    </w:p>
    <w:p>
      <w:pPr>
        <w:pStyle w:val="2"/>
        <w:ind w:left="0" w:leftChars="0" w:firstLine="640" w:firstLineChars="200"/>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排水管网管养专项经费项目维护公共排水泵站8座、维护雨污调蓄池6座、维护排水管渠长度825.5km、排水管网养护维护合格率100%、2023年度完成项目、预算执行率100%。</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项目效益情况分析。</w:t>
      </w:r>
    </w:p>
    <w:p>
      <w:pPr>
        <w:pStyle w:val="2"/>
        <w:numPr>
          <w:ilvl w:val="0"/>
          <w:numId w:val="0"/>
        </w:numPr>
        <w:ind w:firstLine="640" w:firstLineChars="200"/>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排水管网管养专项经费项目人民居住环境有所改善、公共排水设施维护覆盖率100%、社会公众或服务对象满意度90%以上。</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五、主要经验及做法</w:t>
      </w:r>
    </w:p>
    <w:p>
      <w:pPr>
        <w:pStyle w:val="11"/>
        <w:widowControl/>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昆明市五华区住房和城乡建设局提高绩效管理认识，通过设立目标有利于项目决策的制定，有助于项目的实施管理。项目实施前应结合本单位自身情况，设定明确、合理的绩效目标，并将目标量化、细化分解，与预算资金相匹配起来。昆明市五华区住房和城乡建设局认真对待绩效自评，针对自身情况对实施项目提出合理的问题及建议，逐步提高绩效管理认识。</w:t>
      </w:r>
    </w:p>
    <w:p>
      <w:pPr>
        <w:keepNext w:val="0"/>
        <w:keepLines w:val="0"/>
        <w:pageBreakBefore w:val="0"/>
        <w:widowControl/>
        <w:numPr>
          <w:ilvl w:val="0"/>
          <w:numId w:val="4"/>
        </w:numPr>
        <w:kinsoku/>
        <w:wordWrap/>
        <w:overflowPunct/>
        <w:topLinePunct w:val="0"/>
        <w:autoSpaceDE/>
        <w:autoSpaceDN/>
        <w:bidi w:val="0"/>
        <w:adjustRightInd/>
        <w:snapToGrid/>
        <w:spacing w:after="0" w:line="560" w:lineRule="exact"/>
        <w:ind w:left="20" w:leftChars="0" w:right="0" w:firstLine="640" w:firstLineChars="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存在的问题及原因分析</w:t>
      </w:r>
    </w:p>
    <w:p>
      <w:pPr>
        <w:pStyle w:val="11"/>
        <w:widowControl/>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昆明市五华区住房和城乡建设局202</w:t>
      </w:r>
      <w:r>
        <w:rPr>
          <w:rFonts w:hint="default"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rPr>
        <w:t>年预算资金紧张。填报整体绩效时不够细化分解、量化，绩效评价未针对自身情况提出合理的问题及建议，绩效管理认识不够，应积极跟踪项目实施进度。</w:t>
      </w:r>
    </w:p>
    <w:p>
      <w:pPr>
        <w:pStyle w:val="11"/>
        <w:widowControl/>
        <w:ind w:firstLine="640" w:firstLineChars="200"/>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lang w:eastAsia="zh-CN"/>
        </w:rPr>
        <w:t>未针对预算年度内项目预期达到的效益进行具体描述和说明。</w:t>
      </w:r>
    </w:p>
    <w:p>
      <w:pPr>
        <w:keepNext w:val="0"/>
        <w:keepLines w:val="0"/>
        <w:pageBreakBefore w:val="0"/>
        <w:widowControl/>
        <w:numPr>
          <w:ilvl w:val="0"/>
          <w:numId w:val="4"/>
        </w:numPr>
        <w:kinsoku/>
        <w:wordWrap/>
        <w:overflowPunct/>
        <w:topLinePunct w:val="0"/>
        <w:autoSpaceDE/>
        <w:autoSpaceDN/>
        <w:bidi w:val="0"/>
        <w:adjustRightInd/>
        <w:snapToGrid/>
        <w:spacing w:after="0" w:line="560" w:lineRule="exact"/>
        <w:ind w:left="20" w:leftChars="0" w:right="0" w:firstLine="640" w:firstLineChars="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有关建议</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Chars="0" w:right="0" w:rightChars="0"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昆明市五华区住房和城乡建设局积极参加预算绩效管理培训并结合实际情况，汇总、对比以往年度项目预算，从而科学、有依据的做出下一年的项目资金预算，编制更为合理的预算，优化项目资金预算。</w:t>
      </w:r>
    </w:p>
    <w:p>
      <w:pPr>
        <w:pStyle w:val="2"/>
        <w:ind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color w:val="000000"/>
          <w:kern w:val="0"/>
          <w:sz w:val="32"/>
          <w:szCs w:val="32"/>
          <w:lang w:eastAsia="zh-CN"/>
        </w:rPr>
        <w:t>本项目为经常性项目，属于日常业务管理范畴，为更好地完成项目的实施内容，将与合同公司加强沟通及总结管理，以提高项目实施效果，优化辖区管网建设，保证区排水管网的良好运行及管理。</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八、其他需要说明的问题</w:t>
      </w:r>
    </w:p>
    <w:p>
      <w:pPr>
        <w:keepNext w:val="0"/>
        <w:keepLines w:val="0"/>
        <w:pageBreakBefore w:val="0"/>
        <w:widowControl/>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仿宋_GB2312" w:cs="Times New Roman"/>
          <w:sz w:val="30"/>
          <w:szCs w:val="30"/>
          <w:lang w:eastAsia="zh-CN"/>
        </w:rPr>
      </w:pPr>
      <w:r>
        <w:rPr>
          <w:rFonts w:hint="default" w:ascii="Times New Roman" w:hAnsi="Times New Roman" w:eastAsia="仿宋_GB2312" w:cs="Times New Roman"/>
          <w:color w:val="auto"/>
          <w:sz w:val="32"/>
          <w:szCs w:val="32"/>
          <w:lang w:val="en-US" w:eastAsia="zh-CN"/>
        </w:rPr>
        <w:t>无</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E2AC5"/>
    <w:multiLevelType w:val="singleLevel"/>
    <w:tmpl w:val="E12E2AC5"/>
    <w:lvl w:ilvl="0" w:tentative="0">
      <w:start w:val="2"/>
      <w:numFmt w:val="decimal"/>
      <w:suff w:val="nothing"/>
      <w:lvlText w:val="%1、"/>
      <w:lvlJc w:val="left"/>
    </w:lvl>
  </w:abstractNum>
  <w:abstractNum w:abstractNumId="1">
    <w:nsid w:val="5621F5B7"/>
    <w:multiLevelType w:val="singleLevel"/>
    <w:tmpl w:val="5621F5B7"/>
    <w:lvl w:ilvl="0" w:tentative="0">
      <w:start w:val="4"/>
      <w:numFmt w:val="chineseCounting"/>
      <w:suff w:val="nothing"/>
      <w:lvlText w:val="%1、"/>
      <w:lvlJc w:val="left"/>
      <w:rPr>
        <w:rFonts w:hint="eastAsia"/>
      </w:rPr>
    </w:lvl>
  </w:abstractNum>
  <w:abstractNum w:abstractNumId="2">
    <w:nsid w:val="569FF187"/>
    <w:multiLevelType w:val="singleLevel"/>
    <w:tmpl w:val="569FF187"/>
    <w:lvl w:ilvl="0" w:tentative="0">
      <w:start w:val="6"/>
      <w:numFmt w:val="chineseCounting"/>
      <w:suff w:val="nothing"/>
      <w:lvlText w:val="%1、"/>
      <w:lvlJc w:val="left"/>
      <w:pPr>
        <w:ind w:left="20"/>
      </w:pPr>
      <w:rPr>
        <w:rFonts w:hint="eastAsia"/>
      </w:rPr>
    </w:lvl>
  </w:abstractNum>
  <w:abstractNum w:abstractNumId="3">
    <w:nsid w:val="69E2DCE3"/>
    <w:multiLevelType w:val="singleLevel"/>
    <w:tmpl w:val="69E2DCE3"/>
    <w:lvl w:ilvl="0" w:tentative="0">
      <w:start w:val="2"/>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0ZWMzNDhlZWU3NGM5ZDg5YzcxZTFiODhmNmNlNDMifQ=="/>
  </w:docVars>
  <w:rsids>
    <w:rsidRoot w:val="4A0D449E"/>
    <w:rsid w:val="03F751D8"/>
    <w:rsid w:val="0492207E"/>
    <w:rsid w:val="07452824"/>
    <w:rsid w:val="076D705D"/>
    <w:rsid w:val="0EF82222"/>
    <w:rsid w:val="11BA4E96"/>
    <w:rsid w:val="1DF97E1A"/>
    <w:rsid w:val="1F4148FD"/>
    <w:rsid w:val="1F8D7E91"/>
    <w:rsid w:val="1FF84CBB"/>
    <w:rsid w:val="253E664F"/>
    <w:rsid w:val="2574348D"/>
    <w:rsid w:val="25E03162"/>
    <w:rsid w:val="27D66353"/>
    <w:rsid w:val="41B853E2"/>
    <w:rsid w:val="41D878E4"/>
    <w:rsid w:val="47216B52"/>
    <w:rsid w:val="4A0D449E"/>
    <w:rsid w:val="4A8F44D4"/>
    <w:rsid w:val="4E4D4A36"/>
    <w:rsid w:val="61E46E4D"/>
    <w:rsid w:val="64CC1DB0"/>
    <w:rsid w:val="688F305E"/>
    <w:rsid w:val="6C0E6607"/>
    <w:rsid w:val="781E5C16"/>
    <w:rsid w:val="7A9279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sz w:val="22"/>
      <w:szCs w:val="22"/>
    </w:rPr>
  </w:style>
  <w:style w:type="paragraph" w:styleId="4">
    <w:name w:val="heading 2"/>
    <w:basedOn w:val="1"/>
    <w:next w:val="1"/>
    <w:autoRedefine/>
    <w:qFormat/>
    <w:uiPriority w:val="99"/>
    <w:pPr>
      <w:widowControl/>
      <w:adjustRightInd w:val="0"/>
      <w:ind w:firstLine="200" w:firstLineChars="200"/>
      <w:jc w:val="left"/>
      <w:outlineLvl w:val="1"/>
    </w:pPr>
    <w:rPr>
      <w:rFonts w:ascii="Times New Roman" w:hAnsi="Times New Roman" w:eastAsia="宋体" w:cs="Times New Roman"/>
      <w:kern w:val="0"/>
      <w:sz w:val="32"/>
      <w:szCs w:val="20"/>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autoRedefine/>
    <w:qFormat/>
    <w:uiPriority w:val="0"/>
    <w:pPr>
      <w:ind w:firstLine="420" w:firstLineChars="100"/>
    </w:pPr>
  </w:style>
  <w:style w:type="paragraph" w:styleId="3">
    <w:name w:val="Body Text"/>
    <w:basedOn w:val="1"/>
    <w:autoRedefine/>
    <w:qFormat/>
    <w:uiPriority w:val="0"/>
    <w:pPr>
      <w:spacing w:after="120"/>
    </w:pPr>
  </w:style>
  <w:style w:type="paragraph" w:styleId="5">
    <w:name w:val="Normal Indent"/>
    <w:basedOn w:val="1"/>
    <w:next w:val="1"/>
    <w:autoRedefine/>
    <w:qFormat/>
    <w:uiPriority w:val="0"/>
    <w:pPr>
      <w:ind w:firstLine="420" w:firstLineChars="200"/>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11">
    <w:name w:val="正文_0"/>
    <w:autoRedefine/>
    <w:qFormat/>
    <w:uiPriority w:val="99"/>
    <w:pPr>
      <w:widowControl w:val="0"/>
      <w:jc w:val="both"/>
    </w:pPr>
    <w:rPr>
      <w:rFonts w:ascii="Times New Roman" w:hAnsi="Times New Roman" w:eastAsia="宋体" w:cs="Times New Roman"/>
      <w:kern w:val="2"/>
      <w:sz w:val="21"/>
      <w:szCs w:val="22"/>
      <w:lang w:val="en-US" w:eastAsia="zh-CN" w:bidi="ar-SA"/>
    </w:rPr>
  </w:style>
  <w:style w:type="character" w:customStyle="1" w:styleId="12">
    <w:name w:val="font21"/>
    <w:basedOn w:val="9"/>
    <w:autoRedefine/>
    <w:qFormat/>
    <w:uiPriority w:val="0"/>
    <w:rPr>
      <w:rFonts w:ascii="Calibri" w:hAnsi="Calibri" w:cs="Calibri"/>
      <w:color w:val="000000"/>
      <w:sz w:val="20"/>
      <w:szCs w:val="20"/>
      <w:u w:val="none"/>
    </w:rPr>
  </w:style>
  <w:style w:type="character" w:customStyle="1" w:styleId="13">
    <w:name w:val="font11"/>
    <w:basedOn w:val="9"/>
    <w:autoRedefine/>
    <w:qFormat/>
    <w:uiPriority w:val="0"/>
    <w:rPr>
      <w:rFonts w:hint="eastAsia" w:ascii="宋体" w:hAnsi="宋体" w:eastAsia="宋体" w:cs="宋体"/>
      <w:color w:val="000000"/>
      <w:sz w:val="20"/>
      <w:szCs w:val="20"/>
      <w:u w:val="none"/>
    </w:rPr>
  </w:style>
  <w:style w:type="character" w:customStyle="1" w:styleId="14">
    <w:name w:val="font31"/>
    <w:basedOn w:val="9"/>
    <w:autoRedefine/>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2</Pages>
  <Words>384</Words>
  <Characters>384</Characters>
  <Lines>0</Lines>
  <Paragraphs>0</Paragraphs>
  <TotalTime>11</TotalTime>
  <ScaleCrop>false</ScaleCrop>
  <LinksUpToDate>false</LinksUpToDate>
  <CharactersWithSpaces>384</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2021-02-18T05:27:00Z</dcterms:created>
  <dc:creator>旁观者</dc:creator>
  <cp:lastModifiedBy>Administrator</cp:lastModifiedBy>
  <cp:lastPrinted>2024-05-28T06:48:00Z</cp:lastPrinted>
  <dcterms:modified xsi:type="dcterms:W3CDTF">2024-08-06T06:47:50Z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32B48E9366CB46BE9DEE80E9C4C9959D_12</vt:lpwstr>
  </property>
</Properties>
</file>