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133" w:line="560" w:lineRule="exact"/>
        <w:ind w:left="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position w:val="1"/>
          <w:sz w:val="32"/>
          <w:szCs w:val="32"/>
        </w:rPr>
        <w:t>附件</w:t>
      </w:r>
      <w:r>
        <w:rPr>
          <w:rFonts w:ascii="黑体" w:hAnsi="黑体" w:eastAsia="黑体" w:cs="黑体"/>
          <w:spacing w:val="-64"/>
          <w:position w:val="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position w:val="1"/>
          <w:sz w:val="32"/>
          <w:szCs w:val="32"/>
        </w:rPr>
        <w:t>4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微软雅黑" w:hAnsi="微软雅黑" w:eastAsia="微软雅黑" w:cs="微软雅黑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行政许可申请受理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通知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85" w:line="560" w:lineRule="exact"/>
        <w:ind w:right="1748"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被许可人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drawing>
          <wp:inline distT="0" distB="0" distL="0" distR="0">
            <wp:extent cx="55880" cy="142875"/>
            <wp:effectExtent l="0" t="0" r="5080" b="952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7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本机关于    年     月    日收到你（单位）申请通过流转取得土地经营权行政许可所提交的下列（补正）材料：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经审查，你（单位）申请的该行政许可事项属于本机关 职权范围，申请材料齐全，符合法定形式，根据《中华人民 共和国行政许可法》第三十二条的规定，现予受理。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联系电话： 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监督电话：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（行政机关盖章）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年   月    日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0" w:firstLineChars="5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1431" w:right="1785" w:bottom="1116" w:left="1785" w:header="0" w:footer="837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napToGrid/>
          <w:kern w:val="2"/>
          <w:sz w:val="21"/>
          <w:szCs w:val="21"/>
          <w:lang w:val="en-US" w:eastAsia="zh-CN"/>
        </w:rPr>
        <w:t>注： 本通知书一式两份，申请人、受理机关各存一份。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7C334C1A"/>
    <w:rsid w:val="00574B7A"/>
    <w:rsid w:val="11714F2C"/>
    <w:rsid w:val="50BD2394"/>
    <w:rsid w:val="7C33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snapToGrid w:val="0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2024-06-05T01:57:00Z</dcterms:created>
  <dc:creator>¨ 丹 ╮</dc:creator>
  <cp:lastModifiedBy>¨ 丹 ╮</cp:lastModifiedBy>
  <dcterms:modified xsi:type="dcterms:W3CDTF">2024-06-05T02:08:53Z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F10E055E10304BC3BC5DC903EEB25EF1_11</vt:lpwstr>
  </property>
</Properties>
</file>