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20" w:lineRule="exact"/>
        <w:rPr>
          <w:rFonts w:ascii="黑体" w:eastAsia="黑体"/>
          <w:sz w:val="32"/>
          <w:szCs w:val="32"/>
        </w:rPr>
      </w:pPr>
      <w:bookmarkStart w:id="0" w:name="_GoBack"/>
      <w:bookmarkEnd w:id="0"/>
    </w:p>
    <w:p>
      <w:pPr>
        <w:snapToGrid w:val="0"/>
        <w:spacing w:line="620" w:lineRule="exact"/>
        <w:rPr>
          <w:rFonts w:hint="eastAsia" w:ascii="黑体" w:eastAsia="黑体"/>
          <w:sz w:val="32"/>
          <w:szCs w:val="32"/>
        </w:rPr>
      </w:pPr>
    </w:p>
    <w:p>
      <w:pPr>
        <w:snapToGrid w:val="0"/>
        <w:spacing w:line="620" w:lineRule="exact"/>
        <w:rPr>
          <w:rFonts w:hint="eastAsia" w:ascii="黑体" w:eastAsia="黑体"/>
          <w:sz w:val="32"/>
          <w:szCs w:val="32"/>
        </w:rPr>
      </w:pPr>
    </w:p>
    <w:p>
      <w:pPr>
        <w:spacing w:line="580" w:lineRule="atLeast"/>
        <w:jc w:val="center"/>
        <w:rPr>
          <w:rStyle w:val="17"/>
          <w:rFonts w:ascii="Times New Roman" w:hAnsi="Times New Roman" w:eastAsia="方正小标宋_GBK"/>
          <w:sz w:val="70"/>
          <w:szCs w:val="20"/>
        </w:rPr>
      </w:pPr>
      <w:r>
        <w:rPr>
          <w:rStyle w:val="17"/>
          <w:rFonts w:hint="default" w:ascii="方正小标宋_GBK" w:hAnsi="华文中宋" w:eastAsia="方正小标宋_GBK"/>
          <w:b/>
          <w:snapToGrid w:val="0"/>
          <w:color w:val="FF0000"/>
          <w:kern w:val="0"/>
          <w:sz w:val="70"/>
          <w:szCs w:val="70"/>
        </w:rPr>
        <w:t>昆明市五华区财政局文件</w:t>
      </w:r>
    </w:p>
    <w:p>
      <w:pPr>
        <w:pStyle w:val="6"/>
        <w:spacing w:before="0" w:after="0" w:line="240" w:lineRule="auto"/>
        <w:ind w:left="210" w:leftChars="100"/>
        <w:jc w:val="both"/>
        <w:rPr>
          <w:rStyle w:val="18"/>
          <w:rFonts w:hint="default"/>
          <w:b w:val="0"/>
        </w:rPr>
      </w:pPr>
    </w:p>
    <w:p>
      <w:pPr>
        <w:pStyle w:val="6"/>
        <w:spacing w:before="0" w:after="0" w:line="240" w:lineRule="auto"/>
        <w:jc w:val="both"/>
        <w:rPr>
          <w:rStyle w:val="18"/>
          <w:rFonts w:hint="default" w:hAnsi="Times New Roman"/>
          <w:b w:val="0"/>
        </w:rPr>
      </w:pPr>
    </w:p>
    <w:p>
      <w:pPr>
        <w:spacing w:line="500" w:lineRule="atLeast"/>
        <w:jc w:val="center"/>
        <w:rPr>
          <w:rFonts w:ascii="宋体"/>
        </w:rPr>
      </w:pPr>
    </w:p>
    <w:p>
      <w:pPr>
        <w:spacing w:line="500" w:lineRule="atLeast"/>
        <w:jc w:val="center"/>
        <w:rPr>
          <w:rFonts w:hint="eastAsia" w:ascii="黑体" w:hAnsi="黑体" w:eastAsia="黑体"/>
          <w:b/>
          <w:sz w:val="36"/>
          <w:szCs w:val="36"/>
        </w:rPr>
      </w:pPr>
      <w:r>
        <w:rPr>
          <w:rFonts w:hint="eastAsia" w:ascii="Times New Roman"/>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38735</wp:posOffset>
                </wp:positionV>
                <wp:extent cx="5600700" cy="0"/>
                <wp:effectExtent l="0" t="13970" r="0" b="24130"/>
                <wp:wrapNone/>
                <wp:docPr id="1" name="直线 2"/>
                <wp:cNvGraphicFramePr/>
                <a:graphic xmlns:a="http://schemas.openxmlformats.org/drawingml/2006/main">
                  <a:graphicData uri="http://schemas.microsoft.com/office/word/2010/wordprocessingShape">
                    <wps:wsp>
                      <wps:cNvCnPr/>
                      <wps:spPr>
                        <a:xfrm>
                          <a:off x="0" y="0"/>
                          <a:ext cx="56007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top:3.05pt;height:0pt;width:441pt;mso-position-horizontal:center;z-index:251659264;mso-width-relative:page;mso-height-relative:page;" filled="f" stroked="t" coordsize="21600,21600" o:gfxdata="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jc/RzSAAAA&#10;BAEAAA8AAAAAAAAAAQAgAAAAIgAAAGRycy9kb3ducmV2LnhtbFBLAQIUABQAAAAIAIdO4kABbusz&#10;6gEAANwDAAAOAAAAAAAAAAEAIAAAACEBAABkcnMvZTJvRG9jLnhtbFBLBQYAAAAABgAGAFkBAAB9&#10;BQAAAAA=&#10;">
                <v:fill on="f" focussize="0,0"/>
                <v:stroke weight="2.25pt" color="#FF0000" joinstyle="round"/>
                <v:imagedata o:title=""/>
                <o:lock v:ext="edit" aspectratio="f"/>
              </v:line>
            </w:pict>
          </mc:Fallback>
        </mc:AlternateContent>
      </w:r>
    </w:p>
    <w:p>
      <w:pPr>
        <w:spacing w:line="520" w:lineRule="exact"/>
        <w:ind w:firstLine="723" w:firstLineChars="200"/>
        <w:jc w:val="center"/>
        <w:rPr>
          <w:rFonts w:hint="eastAsia" w:ascii="黑体" w:hAnsi="黑体" w:eastAsia="黑体"/>
          <w:b/>
          <w:sz w:val="36"/>
          <w:szCs w:val="36"/>
        </w:rPr>
      </w:pPr>
      <w:r>
        <w:rPr>
          <w:rFonts w:hint="eastAsia" w:ascii="黑体" w:hAnsi="黑体" w:eastAsia="黑体"/>
          <w:b/>
          <w:sz w:val="36"/>
          <w:szCs w:val="36"/>
        </w:rPr>
        <w:t>昆明市五华区财政局2019年度项目支出</w:t>
      </w:r>
    </w:p>
    <w:p>
      <w:pPr>
        <w:spacing w:line="520" w:lineRule="exact"/>
        <w:ind w:firstLine="723" w:firstLineChars="200"/>
        <w:jc w:val="center"/>
        <w:rPr>
          <w:rFonts w:ascii="黑体" w:hAnsi="黑体" w:eastAsia="黑体"/>
          <w:b/>
          <w:sz w:val="36"/>
          <w:szCs w:val="36"/>
        </w:rPr>
      </w:pPr>
      <w:r>
        <w:rPr>
          <w:rFonts w:hint="eastAsia" w:ascii="黑体" w:hAnsi="黑体" w:eastAsia="黑体"/>
          <w:b/>
          <w:sz w:val="36"/>
          <w:szCs w:val="36"/>
        </w:rPr>
        <w:t>绩效评价报告</w:t>
      </w:r>
    </w:p>
    <w:p>
      <w:pPr>
        <w:spacing w:line="520" w:lineRule="exact"/>
        <w:ind w:firstLine="723" w:firstLineChars="200"/>
        <w:jc w:val="center"/>
        <w:rPr>
          <w:rFonts w:ascii="黑体" w:hAnsi="黑体" w:eastAsia="黑体"/>
          <w:b/>
          <w:sz w:val="36"/>
          <w:szCs w:val="36"/>
        </w:rPr>
      </w:pPr>
    </w:p>
    <w:p>
      <w:pPr>
        <w:rPr>
          <w:rFonts w:ascii="仿宋_GB2312" w:eastAsia="仿宋_GB2312"/>
          <w:sz w:val="32"/>
          <w:szCs w:val="32"/>
        </w:rPr>
      </w:pPr>
      <w:r>
        <w:rPr>
          <w:rFonts w:hint="eastAsia" w:ascii="仿宋_GB2312" w:hAnsi="宋体" w:eastAsia="仿宋_GB2312"/>
          <w:sz w:val="32"/>
          <w:szCs w:val="32"/>
        </w:rPr>
        <w:t xml:space="preserve">   </w:t>
      </w:r>
    </w:p>
    <w:p>
      <w:pPr>
        <w:topLinePunct/>
        <w:spacing w:line="520" w:lineRule="exact"/>
        <w:ind w:firstLine="803" w:firstLineChars="250"/>
        <w:rPr>
          <w:rFonts w:ascii="仿宋" w:hAnsi="仿宋" w:eastAsia="仿宋"/>
          <w:b/>
          <w:sz w:val="32"/>
          <w:szCs w:val="32"/>
        </w:rPr>
      </w:pPr>
      <w:r>
        <w:rPr>
          <w:rFonts w:hint="eastAsia" w:ascii="仿宋" w:hAnsi="仿宋" w:eastAsia="仿宋"/>
          <w:b/>
          <w:sz w:val="32"/>
          <w:szCs w:val="32"/>
        </w:rPr>
        <w:t>一、项目基本情况</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（一）项目概况</w:t>
      </w:r>
    </w:p>
    <w:p>
      <w:pPr>
        <w:spacing w:line="500" w:lineRule="exact"/>
        <w:ind w:firstLine="640" w:firstLineChars="200"/>
        <w:rPr>
          <w:rFonts w:ascii="仿宋" w:hAnsi="仿宋" w:eastAsia="仿宋"/>
          <w:b/>
          <w:sz w:val="32"/>
          <w:szCs w:val="32"/>
        </w:rPr>
      </w:pPr>
      <w:r>
        <w:rPr>
          <w:rFonts w:hint="eastAsia" w:ascii="仿宋" w:hAnsi="仿宋" w:eastAsia="仿宋"/>
          <w:sz w:val="32"/>
          <w:szCs w:val="32"/>
        </w:rPr>
        <w:t>五华区财政局是五华区政府的重要职能部门，承担着贯彻执行国家财政、税收的发展战略、方针、政策；制定全区财政发展战略和中长期规划；参与研究制定综合经济政策；管理和指导全区财政业务等职能职责。</w:t>
      </w:r>
    </w:p>
    <w:p>
      <w:pPr>
        <w:pStyle w:val="15"/>
        <w:snapToGrid w:val="0"/>
        <w:spacing w:line="588" w:lineRule="exact"/>
        <w:ind w:firstLine="640"/>
        <w:jc w:val="left"/>
        <w:rPr>
          <w:rFonts w:ascii="仿宋" w:hAnsi="仿宋" w:eastAsia="仿宋"/>
          <w:sz w:val="32"/>
          <w:szCs w:val="32"/>
        </w:rPr>
      </w:pPr>
      <w:r>
        <w:rPr>
          <w:rFonts w:hint="eastAsia" w:ascii="仿宋" w:hAnsi="仿宋" w:eastAsia="仿宋"/>
          <w:sz w:val="32"/>
          <w:szCs w:val="32"/>
        </w:rPr>
        <w:t>（二）项目绩效目标</w:t>
      </w:r>
    </w:p>
    <w:p>
      <w:pPr>
        <w:spacing w:line="560" w:lineRule="exact"/>
        <w:rPr>
          <w:rFonts w:ascii="仿宋" w:hAnsi="仿宋" w:eastAsia="仿宋"/>
          <w:sz w:val="32"/>
          <w:szCs w:val="32"/>
        </w:rPr>
      </w:pPr>
      <w:r>
        <w:rPr>
          <w:rFonts w:hint="eastAsia" w:ascii="仿宋" w:hAnsi="仿宋" w:eastAsia="仿宋"/>
          <w:sz w:val="32"/>
          <w:szCs w:val="32"/>
          <w:lang w:val="zh-CN"/>
        </w:rPr>
        <w:t xml:space="preserve">    </w:t>
      </w:r>
      <w:r>
        <w:rPr>
          <w:rFonts w:hint="eastAsia" w:ascii="仿宋" w:hAnsi="仿宋" w:eastAsia="仿宋"/>
          <w:sz w:val="32"/>
          <w:szCs w:val="32"/>
        </w:rPr>
        <w:t>根据区委全会确定的各项工作目标任务，区财政局努力拓宽收入渠道，不断优化支出结构，深入推进财政改革，着力强化财政监督，有效推动全区经济社会事业平稳较快发展。</w:t>
      </w:r>
    </w:p>
    <w:p>
      <w:pPr>
        <w:ind w:firstLine="640" w:firstLineChars="200"/>
        <w:rPr>
          <w:rFonts w:ascii="仿宋" w:hAnsi="仿宋" w:eastAsia="仿宋"/>
          <w:sz w:val="32"/>
          <w:szCs w:val="32"/>
        </w:rPr>
      </w:pPr>
      <w:r>
        <w:rPr>
          <w:rFonts w:hint="eastAsia" w:ascii="仿宋" w:hAnsi="仿宋" w:eastAsia="仿宋"/>
          <w:sz w:val="32"/>
          <w:szCs w:val="32"/>
        </w:rPr>
        <w:t>（三）部门整体支出规模、使用方向和主要内容、涉及范围等</w:t>
      </w:r>
    </w:p>
    <w:p>
      <w:pPr>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部门整体支出规模</w:t>
      </w:r>
    </w:p>
    <w:p>
      <w:pPr>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根据《关于下达</w:t>
      </w:r>
      <w:r>
        <w:rPr>
          <w:rFonts w:ascii="仿宋" w:hAnsi="仿宋" w:eastAsia="仿宋"/>
          <w:sz w:val="32"/>
          <w:szCs w:val="32"/>
        </w:rPr>
        <w:t>201</w:t>
      </w:r>
      <w:r>
        <w:rPr>
          <w:rFonts w:hint="eastAsia" w:ascii="仿宋" w:hAnsi="仿宋" w:eastAsia="仿宋"/>
          <w:sz w:val="32"/>
          <w:szCs w:val="32"/>
        </w:rPr>
        <w:t>9年部门预算的通知》（五财行</w:t>
      </w:r>
      <w:r>
        <w:rPr>
          <w:rFonts w:ascii="仿宋" w:hAnsi="仿宋" w:eastAsia="仿宋"/>
          <w:sz w:val="32"/>
          <w:szCs w:val="32"/>
        </w:rPr>
        <w:t>[201</w:t>
      </w:r>
      <w:r>
        <w:rPr>
          <w:rFonts w:hint="eastAsia" w:ascii="仿宋" w:hAnsi="仿宋" w:eastAsia="仿宋"/>
          <w:sz w:val="32"/>
          <w:szCs w:val="32"/>
        </w:rPr>
        <w:t>9</w:t>
      </w:r>
      <w:r>
        <w:rPr>
          <w:rFonts w:ascii="仿宋" w:hAnsi="仿宋" w:eastAsia="仿宋"/>
          <w:sz w:val="32"/>
          <w:szCs w:val="32"/>
        </w:rPr>
        <w:t>]</w:t>
      </w:r>
      <w:r>
        <w:rPr>
          <w:rFonts w:hint="eastAsia" w:ascii="仿宋" w:hAnsi="仿宋" w:eastAsia="仿宋"/>
          <w:sz w:val="32"/>
          <w:szCs w:val="32"/>
        </w:rPr>
        <w:t>10401号）的规定，我局</w:t>
      </w:r>
      <w:r>
        <w:rPr>
          <w:rFonts w:ascii="仿宋" w:hAnsi="仿宋" w:eastAsia="仿宋"/>
          <w:sz w:val="32"/>
          <w:szCs w:val="32"/>
        </w:rPr>
        <w:t>201</w:t>
      </w:r>
      <w:r>
        <w:rPr>
          <w:rFonts w:hint="eastAsia" w:ascii="仿宋" w:hAnsi="仿宋" w:eastAsia="仿宋"/>
          <w:sz w:val="32"/>
          <w:szCs w:val="32"/>
        </w:rPr>
        <w:t>9年年初项目预算资金为5,030,000元。</w:t>
      </w:r>
    </w:p>
    <w:p>
      <w:pPr>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、使用方向和主要内容、涉及范围</w:t>
      </w:r>
    </w:p>
    <w:p>
      <w:pPr>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）项目支出主要用于区财政局</w:t>
      </w:r>
      <w:r>
        <w:rPr>
          <w:rFonts w:ascii="仿宋" w:hAnsi="仿宋" w:eastAsia="仿宋"/>
          <w:sz w:val="32"/>
          <w:szCs w:val="32"/>
        </w:rPr>
        <w:t>201</w:t>
      </w:r>
      <w:r>
        <w:rPr>
          <w:rFonts w:hint="eastAsia" w:ascii="仿宋" w:hAnsi="仿宋" w:eastAsia="仿宋"/>
          <w:sz w:val="32"/>
          <w:szCs w:val="32"/>
        </w:rPr>
        <w:t>9年度开展3个项目支出。</w:t>
      </w:r>
    </w:p>
    <w:p>
      <w:pPr>
        <w:rPr>
          <w:rFonts w:ascii="仿宋" w:hAnsi="仿宋" w:eastAsia="仿宋"/>
          <w:b/>
          <w:sz w:val="32"/>
          <w:szCs w:val="32"/>
        </w:rPr>
      </w:pPr>
      <w:r>
        <w:rPr>
          <w:rFonts w:ascii="仿宋" w:hAnsi="仿宋" w:eastAsia="仿宋"/>
          <w:sz w:val="32"/>
          <w:szCs w:val="32"/>
        </w:rPr>
        <w:t xml:space="preserve">   </w:t>
      </w:r>
      <w:r>
        <w:rPr>
          <w:rFonts w:ascii="仿宋" w:hAnsi="仿宋" w:eastAsia="仿宋"/>
          <w:b/>
          <w:sz w:val="32"/>
          <w:szCs w:val="32"/>
        </w:rPr>
        <w:t xml:space="preserve"> </w:t>
      </w:r>
      <w:r>
        <w:rPr>
          <w:rFonts w:hint="eastAsia" w:ascii="仿宋" w:hAnsi="仿宋" w:eastAsia="仿宋"/>
          <w:b/>
          <w:sz w:val="32"/>
          <w:szCs w:val="32"/>
        </w:rPr>
        <w:t>二、项目支出管理及使用情况</w:t>
      </w:r>
    </w:p>
    <w:p>
      <w:pPr>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 xml:space="preserve"> 项目资金安排落实、总投入等情况分析</w:t>
      </w:r>
    </w:p>
    <w:p>
      <w:pPr>
        <w:rPr>
          <w:rFonts w:ascii="仿宋" w:hAnsi="仿宋" w:eastAsia="仿宋"/>
          <w:sz w:val="32"/>
          <w:szCs w:val="32"/>
        </w:rPr>
      </w:pPr>
      <w:r>
        <w:rPr>
          <w:rFonts w:hint="eastAsia" w:ascii="仿宋" w:hAnsi="仿宋" w:eastAsia="仿宋"/>
          <w:sz w:val="32"/>
          <w:szCs w:val="32"/>
        </w:rPr>
        <w:t xml:space="preserve">    区财政局</w:t>
      </w:r>
      <w:r>
        <w:rPr>
          <w:rFonts w:ascii="仿宋" w:hAnsi="仿宋" w:eastAsia="仿宋"/>
          <w:sz w:val="32"/>
          <w:szCs w:val="32"/>
        </w:rPr>
        <w:t>201</w:t>
      </w:r>
      <w:r>
        <w:rPr>
          <w:rFonts w:hint="eastAsia" w:ascii="仿宋" w:hAnsi="仿宋" w:eastAsia="仿宋"/>
          <w:sz w:val="32"/>
          <w:szCs w:val="32"/>
        </w:rPr>
        <w:t>9年年初预计完成3个项目，预算资金为5,030,000元。实际下达指标数为5,030,000元。</w:t>
      </w:r>
    </w:p>
    <w:p>
      <w:pPr>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2</w:t>
      </w:r>
      <w:r>
        <w:rPr>
          <w:rFonts w:hint="eastAsia" w:ascii="仿宋" w:hAnsi="仿宋" w:eastAsia="仿宋"/>
          <w:sz w:val="32"/>
          <w:szCs w:val="32"/>
        </w:rPr>
        <w:t>.项目支出实际使用情况分析</w:t>
      </w:r>
    </w:p>
    <w:p>
      <w:pPr>
        <w:rPr>
          <w:rFonts w:ascii="仿宋" w:hAnsi="仿宋" w:eastAsia="仿宋"/>
          <w:sz w:val="32"/>
          <w:szCs w:val="32"/>
        </w:rPr>
      </w:pPr>
      <w:r>
        <w:rPr>
          <w:rFonts w:hint="eastAsia" w:ascii="仿宋" w:hAnsi="仿宋" w:eastAsia="仿宋"/>
          <w:sz w:val="32"/>
          <w:szCs w:val="32"/>
        </w:rPr>
        <w:t xml:space="preserve">    在项目执行中，区财政局</w:t>
      </w:r>
      <w:r>
        <w:rPr>
          <w:rFonts w:ascii="仿宋" w:hAnsi="仿宋" w:eastAsia="仿宋"/>
          <w:sz w:val="32"/>
          <w:szCs w:val="32"/>
        </w:rPr>
        <w:t>201</w:t>
      </w:r>
      <w:r>
        <w:rPr>
          <w:rFonts w:hint="eastAsia" w:ascii="仿宋" w:hAnsi="仿宋" w:eastAsia="仿宋"/>
          <w:sz w:val="32"/>
          <w:szCs w:val="32"/>
        </w:rPr>
        <w:t>9年实际支出5,028,485.94元，用于3项工作，具体情况如下表：</w:t>
      </w:r>
    </w:p>
    <w:p>
      <w:pPr>
        <w:snapToGrid w:val="0"/>
        <w:spacing w:line="588" w:lineRule="exact"/>
        <w:ind w:firstLine="630"/>
        <w:jc w:val="left"/>
        <w:rPr>
          <w:rFonts w:ascii="仿宋" w:hAnsi="仿宋" w:eastAsia="仿宋"/>
          <w:sz w:val="32"/>
          <w:szCs w:val="32"/>
        </w:rPr>
      </w:pPr>
    </w:p>
    <w:p>
      <w:pPr>
        <w:snapToGrid w:val="0"/>
        <w:spacing w:line="588" w:lineRule="exact"/>
        <w:ind w:firstLine="630"/>
        <w:jc w:val="left"/>
        <w:rPr>
          <w:rFonts w:ascii="仿宋" w:hAnsi="仿宋" w:eastAsia="仿宋"/>
          <w:b/>
          <w:sz w:val="32"/>
          <w:szCs w:val="32"/>
        </w:rPr>
      </w:pPr>
      <w:r>
        <w:rPr>
          <w:rFonts w:ascii="仿宋" w:hAnsi="仿宋" w:eastAsia="仿宋"/>
          <w:b/>
          <w:sz w:val="32"/>
          <w:szCs w:val="32"/>
        </w:rPr>
        <w:t>201</w:t>
      </w:r>
      <w:r>
        <w:rPr>
          <w:rFonts w:hint="eastAsia" w:ascii="仿宋" w:hAnsi="仿宋" w:eastAsia="仿宋"/>
          <w:b/>
          <w:sz w:val="32"/>
          <w:szCs w:val="32"/>
        </w:rPr>
        <w:t>9年五华区财政局项目实际支出（财政拨款）</w:t>
      </w:r>
    </w:p>
    <w:p>
      <w:pPr>
        <w:snapToGrid w:val="0"/>
        <w:spacing w:line="588" w:lineRule="exact"/>
        <w:ind w:firstLine="630"/>
        <w:jc w:val="left"/>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单位：元</w:t>
      </w:r>
    </w:p>
    <w:tbl>
      <w:tblPr>
        <w:tblStyle w:val="7"/>
        <w:tblW w:w="0" w:type="auto"/>
        <w:tblInd w:w="-10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60"/>
        <w:gridCol w:w="801"/>
        <w:gridCol w:w="2712"/>
        <w:gridCol w:w="2136"/>
        <w:gridCol w:w="2281"/>
        <w:gridCol w:w="8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3" w:type="dxa"/>
          </w:tcPr>
          <w:p>
            <w:pPr>
              <w:snapToGrid w:val="0"/>
              <w:spacing w:line="588" w:lineRule="exact"/>
              <w:jc w:val="left"/>
              <w:rPr>
                <w:rFonts w:ascii="仿宋" w:hAnsi="仿宋" w:eastAsia="仿宋"/>
                <w:sz w:val="32"/>
                <w:szCs w:val="32"/>
              </w:rPr>
            </w:pPr>
            <w:r>
              <w:rPr>
                <w:rFonts w:hint="eastAsia" w:ascii="仿宋" w:hAnsi="仿宋" w:eastAsia="仿宋"/>
                <w:sz w:val="32"/>
                <w:szCs w:val="32"/>
              </w:rPr>
              <w:t>序号</w:t>
            </w:r>
          </w:p>
        </w:tc>
        <w:tc>
          <w:tcPr>
            <w:tcW w:w="828" w:type="dxa"/>
          </w:tcPr>
          <w:p>
            <w:pPr>
              <w:snapToGrid w:val="0"/>
              <w:spacing w:line="588" w:lineRule="exact"/>
              <w:jc w:val="left"/>
              <w:rPr>
                <w:rFonts w:ascii="仿宋" w:hAnsi="仿宋" w:eastAsia="仿宋"/>
                <w:sz w:val="32"/>
                <w:szCs w:val="32"/>
              </w:rPr>
            </w:pPr>
            <w:r>
              <w:rPr>
                <w:rFonts w:hint="eastAsia" w:ascii="仿宋" w:hAnsi="仿宋" w:eastAsia="仿宋"/>
                <w:sz w:val="32"/>
                <w:szCs w:val="32"/>
              </w:rPr>
              <w:t>项目分类</w:t>
            </w:r>
          </w:p>
        </w:tc>
        <w:tc>
          <w:tcPr>
            <w:tcW w:w="2934" w:type="dxa"/>
          </w:tcPr>
          <w:p>
            <w:pPr>
              <w:snapToGrid w:val="0"/>
              <w:spacing w:line="588" w:lineRule="exact"/>
              <w:jc w:val="left"/>
              <w:rPr>
                <w:rFonts w:ascii="仿宋" w:hAnsi="仿宋" w:eastAsia="仿宋"/>
                <w:sz w:val="32"/>
                <w:szCs w:val="32"/>
              </w:rPr>
            </w:pPr>
            <w:r>
              <w:rPr>
                <w:rFonts w:hint="eastAsia" w:ascii="仿宋" w:hAnsi="仿宋" w:eastAsia="仿宋"/>
                <w:sz w:val="32"/>
                <w:szCs w:val="32"/>
              </w:rPr>
              <w:t>预算项目</w:t>
            </w:r>
          </w:p>
        </w:tc>
        <w:tc>
          <w:tcPr>
            <w:tcW w:w="1816" w:type="dxa"/>
          </w:tcPr>
          <w:p>
            <w:pPr>
              <w:snapToGrid w:val="0"/>
              <w:spacing w:line="588" w:lineRule="exact"/>
              <w:jc w:val="left"/>
              <w:rPr>
                <w:rFonts w:ascii="仿宋" w:hAnsi="仿宋" w:eastAsia="仿宋"/>
                <w:sz w:val="32"/>
                <w:szCs w:val="32"/>
              </w:rPr>
            </w:pPr>
            <w:r>
              <w:rPr>
                <w:rFonts w:hint="eastAsia" w:ascii="仿宋" w:hAnsi="仿宋" w:eastAsia="仿宋"/>
                <w:sz w:val="32"/>
                <w:szCs w:val="32"/>
              </w:rPr>
              <w:t>已下达授权支付额度数</w:t>
            </w:r>
          </w:p>
        </w:tc>
        <w:tc>
          <w:tcPr>
            <w:tcW w:w="2296" w:type="dxa"/>
          </w:tcPr>
          <w:p>
            <w:pPr>
              <w:snapToGrid w:val="0"/>
              <w:spacing w:line="588" w:lineRule="exact"/>
              <w:jc w:val="left"/>
              <w:rPr>
                <w:rFonts w:ascii="仿宋" w:hAnsi="仿宋" w:eastAsia="仿宋"/>
                <w:sz w:val="32"/>
                <w:szCs w:val="32"/>
              </w:rPr>
            </w:pPr>
            <w:r>
              <w:rPr>
                <w:rFonts w:hint="eastAsia" w:ascii="仿宋" w:hAnsi="仿宋" w:eastAsia="仿宋"/>
                <w:sz w:val="32"/>
                <w:szCs w:val="32"/>
              </w:rPr>
              <w:t>支付数</w:t>
            </w:r>
          </w:p>
        </w:tc>
        <w:tc>
          <w:tcPr>
            <w:tcW w:w="891" w:type="dxa"/>
          </w:tcPr>
          <w:p>
            <w:pPr>
              <w:snapToGrid w:val="0"/>
              <w:spacing w:line="588" w:lineRule="exact"/>
              <w:jc w:val="left"/>
              <w:rPr>
                <w:rFonts w:ascii="仿宋" w:hAnsi="仿宋" w:eastAsia="仿宋"/>
                <w:sz w:val="32"/>
                <w:szCs w:val="32"/>
              </w:rPr>
            </w:pPr>
            <w:r>
              <w:rPr>
                <w:rFonts w:hint="eastAsia" w:ascii="仿宋" w:hAnsi="仿宋" w:eastAsia="仿宋"/>
                <w:sz w:val="32"/>
                <w:szCs w:val="32"/>
              </w:rPr>
              <w:t>未支付原因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3" w:type="dxa"/>
          </w:tcPr>
          <w:p>
            <w:pPr>
              <w:snapToGrid w:val="0"/>
              <w:spacing w:line="588" w:lineRule="exact"/>
              <w:jc w:val="left"/>
              <w:rPr>
                <w:rFonts w:ascii="仿宋" w:hAnsi="仿宋" w:eastAsia="仿宋"/>
                <w:sz w:val="32"/>
                <w:szCs w:val="32"/>
              </w:rPr>
            </w:pPr>
            <w:r>
              <w:rPr>
                <w:rFonts w:ascii="仿宋" w:hAnsi="仿宋" w:eastAsia="仿宋"/>
                <w:sz w:val="32"/>
                <w:szCs w:val="32"/>
              </w:rPr>
              <w:t>1</w:t>
            </w:r>
          </w:p>
        </w:tc>
        <w:tc>
          <w:tcPr>
            <w:tcW w:w="828" w:type="dxa"/>
          </w:tcPr>
          <w:p>
            <w:pPr>
              <w:snapToGrid w:val="0"/>
              <w:spacing w:line="588" w:lineRule="exact"/>
              <w:jc w:val="left"/>
              <w:rPr>
                <w:rFonts w:ascii="仿宋" w:hAnsi="仿宋" w:eastAsia="仿宋"/>
                <w:sz w:val="32"/>
                <w:szCs w:val="32"/>
              </w:rPr>
            </w:pPr>
            <w:r>
              <w:rPr>
                <w:rFonts w:hint="eastAsia" w:ascii="仿宋" w:hAnsi="仿宋" w:eastAsia="仿宋"/>
                <w:sz w:val="32"/>
                <w:szCs w:val="32"/>
              </w:rPr>
              <w:t>年初预算</w:t>
            </w:r>
          </w:p>
        </w:tc>
        <w:tc>
          <w:tcPr>
            <w:tcW w:w="2934" w:type="dxa"/>
          </w:tcPr>
          <w:p>
            <w:pPr>
              <w:snapToGrid w:val="0"/>
              <w:spacing w:line="588" w:lineRule="exact"/>
              <w:jc w:val="left"/>
              <w:rPr>
                <w:rFonts w:ascii="仿宋" w:hAnsi="仿宋" w:eastAsia="仿宋"/>
                <w:sz w:val="32"/>
                <w:szCs w:val="32"/>
              </w:rPr>
            </w:pPr>
            <w:r>
              <w:rPr>
                <w:rFonts w:hint="eastAsia" w:ascii="仿宋" w:hAnsi="仿宋" w:eastAsia="仿宋"/>
                <w:sz w:val="32"/>
                <w:szCs w:val="32"/>
              </w:rPr>
              <w:t>政府金融管理及监管经费</w:t>
            </w:r>
          </w:p>
        </w:tc>
        <w:tc>
          <w:tcPr>
            <w:tcW w:w="1816" w:type="dxa"/>
          </w:tcPr>
          <w:p>
            <w:pPr>
              <w:snapToGrid w:val="0"/>
              <w:spacing w:line="588" w:lineRule="exact"/>
              <w:jc w:val="left"/>
              <w:rPr>
                <w:rFonts w:ascii="仿宋" w:hAnsi="仿宋" w:eastAsia="仿宋"/>
                <w:sz w:val="32"/>
                <w:szCs w:val="32"/>
              </w:rPr>
            </w:pPr>
            <w:r>
              <w:rPr>
                <w:rFonts w:hint="eastAsia" w:ascii="仿宋" w:hAnsi="仿宋" w:eastAsia="仿宋"/>
                <w:sz w:val="32"/>
                <w:szCs w:val="32"/>
              </w:rPr>
              <w:t>1,200,000.00</w:t>
            </w:r>
          </w:p>
        </w:tc>
        <w:tc>
          <w:tcPr>
            <w:tcW w:w="2296" w:type="dxa"/>
          </w:tcPr>
          <w:p>
            <w:pPr>
              <w:snapToGrid w:val="0"/>
              <w:spacing w:line="588" w:lineRule="exact"/>
              <w:jc w:val="left"/>
              <w:rPr>
                <w:rFonts w:ascii="仿宋" w:hAnsi="仿宋" w:eastAsia="仿宋"/>
                <w:sz w:val="32"/>
                <w:szCs w:val="32"/>
              </w:rPr>
            </w:pPr>
            <w:r>
              <w:rPr>
                <w:rFonts w:hint="eastAsia" w:ascii="仿宋" w:hAnsi="仿宋" w:eastAsia="仿宋"/>
                <w:sz w:val="32"/>
                <w:szCs w:val="32"/>
              </w:rPr>
              <w:t>1,198,485.94</w:t>
            </w:r>
          </w:p>
          <w:p>
            <w:pPr>
              <w:snapToGrid w:val="0"/>
              <w:spacing w:line="588" w:lineRule="exact"/>
              <w:jc w:val="left"/>
              <w:rPr>
                <w:rFonts w:ascii="仿宋" w:hAnsi="仿宋" w:eastAsia="仿宋"/>
                <w:sz w:val="32"/>
                <w:szCs w:val="32"/>
              </w:rPr>
            </w:pPr>
          </w:p>
        </w:tc>
        <w:tc>
          <w:tcPr>
            <w:tcW w:w="891" w:type="dxa"/>
          </w:tcPr>
          <w:p>
            <w:pPr>
              <w:snapToGrid w:val="0"/>
              <w:spacing w:line="588" w:lineRule="exact"/>
              <w:jc w:val="left"/>
              <w:rPr>
                <w:rFonts w:ascii="仿宋" w:hAnsi="仿宋"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3" w:type="dxa"/>
          </w:tcPr>
          <w:p>
            <w:pPr>
              <w:snapToGrid w:val="0"/>
              <w:spacing w:line="588" w:lineRule="exact"/>
              <w:jc w:val="left"/>
              <w:rPr>
                <w:rFonts w:ascii="仿宋" w:hAnsi="仿宋" w:eastAsia="仿宋"/>
                <w:sz w:val="32"/>
                <w:szCs w:val="32"/>
              </w:rPr>
            </w:pPr>
            <w:r>
              <w:rPr>
                <w:rFonts w:ascii="仿宋" w:hAnsi="仿宋" w:eastAsia="仿宋"/>
                <w:sz w:val="32"/>
                <w:szCs w:val="32"/>
              </w:rPr>
              <w:t>2</w:t>
            </w:r>
          </w:p>
        </w:tc>
        <w:tc>
          <w:tcPr>
            <w:tcW w:w="828" w:type="dxa"/>
          </w:tcPr>
          <w:p>
            <w:pPr>
              <w:snapToGrid w:val="0"/>
              <w:spacing w:line="588" w:lineRule="exact"/>
              <w:jc w:val="left"/>
              <w:rPr>
                <w:rFonts w:ascii="仿宋" w:hAnsi="仿宋" w:eastAsia="仿宋"/>
                <w:sz w:val="32"/>
                <w:szCs w:val="32"/>
              </w:rPr>
            </w:pPr>
            <w:r>
              <w:rPr>
                <w:rFonts w:hint="eastAsia" w:ascii="仿宋" w:hAnsi="仿宋" w:eastAsia="仿宋"/>
                <w:sz w:val="32"/>
                <w:szCs w:val="32"/>
              </w:rPr>
              <w:t>年初预算</w:t>
            </w:r>
          </w:p>
        </w:tc>
        <w:tc>
          <w:tcPr>
            <w:tcW w:w="2934" w:type="dxa"/>
          </w:tcPr>
          <w:p>
            <w:pPr>
              <w:snapToGrid w:val="0"/>
              <w:spacing w:line="588" w:lineRule="exact"/>
              <w:jc w:val="left"/>
              <w:rPr>
                <w:rFonts w:ascii="仿宋" w:hAnsi="仿宋" w:eastAsia="仿宋"/>
                <w:sz w:val="32"/>
                <w:szCs w:val="32"/>
              </w:rPr>
            </w:pPr>
            <w:r>
              <w:rPr>
                <w:rFonts w:hint="eastAsia" w:ascii="仿宋" w:hAnsi="仿宋" w:eastAsia="仿宋"/>
                <w:sz w:val="32"/>
                <w:szCs w:val="32"/>
              </w:rPr>
              <w:t>财政管理业务中介费</w:t>
            </w:r>
          </w:p>
        </w:tc>
        <w:tc>
          <w:tcPr>
            <w:tcW w:w="1816" w:type="dxa"/>
          </w:tcPr>
          <w:p>
            <w:pPr>
              <w:snapToGrid w:val="0"/>
              <w:spacing w:line="588" w:lineRule="exact"/>
              <w:jc w:val="left"/>
              <w:rPr>
                <w:rFonts w:ascii="仿宋" w:hAnsi="仿宋" w:eastAsia="仿宋"/>
                <w:sz w:val="32"/>
                <w:szCs w:val="32"/>
              </w:rPr>
            </w:pPr>
            <w:r>
              <w:rPr>
                <w:rFonts w:hint="eastAsia" w:ascii="仿宋" w:hAnsi="仿宋" w:eastAsia="仿宋"/>
                <w:sz w:val="32"/>
                <w:szCs w:val="32"/>
              </w:rPr>
              <w:t>3,600,000.00</w:t>
            </w:r>
          </w:p>
          <w:p>
            <w:pPr>
              <w:snapToGrid w:val="0"/>
              <w:spacing w:line="588" w:lineRule="exact"/>
              <w:jc w:val="left"/>
              <w:rPr>
                <w:rFonts w:ascii="仿宋" w:hAnsi="仿宋" w:eastAsia="仿宋"/>
                <w:sz w:val="32"/>
                <w:szCs w:val="32"/>
              </w:rPr>
            </w:pPr>
          </w:p>
        </w:tc>
        <w:tc>
          <w:tcPr>
            <w:tcW w:w="2296" w:type="dxa"/>
          </w:tcPr>
          <w:p>
            <w:pPr>
              <w:snapToGrid w:val="0"/>
              <w:spacing w:line="588" w:lineRule="exact"/>
              <w:jc w:val="left"/>
              <w:rPr>
                <w:rFonts w:ascii="仿宋" w:hAnsi="仿宋" w:eastAsia="仿宋"/>
                <w:sz w:val="32"/>
                <w:szCs w:val="32"/>
              </w:rPr>
            </w:pPr>
            <w:r>
              <w:rPr>
                <w:rFonts w:hint="eastAsia" w:ascii="仿宋" w:hAnsi="仿宋" w:eastAsia="仿宋"/>
                <w:sz w:val="32"/>
                <w:szCs w:val="32"/>
              </w:rPr>
              <w:t>3,600,000.00</w:t>
            </w:r>
          </w:p>
          <w:p>
            <w:pPr>
              <w:snapToGrid w:val="0"/>
              <w:spacing w:line="588" w:lineRule="exact"/>
              <w:jc w:val="left"/>
              <w:rPr>
                <w:rFonts w:ascii="仿宋" w:hAnsi="仿宋" w:eastAsia="仿宋"/>
                <w:sz w:val="32"/>
                <w:szCs w:val="32"/>
              </w:rPr>
            </w:pPr>
          </w:p>
        </w:tc>
        <w:tc>
          <w:tcPr>
            <w:tcW w:w="891" w:type="dxa"/>
          </w:tcPr>
          <w:p>
            <w:pPr>
              <w:snapToGrid w:val="0"/>
              <w:spacing w:line="588" w:lineRule="exact"/>
              <w:jc w:val="left"/>
              <w:rPr>
                <w:rFonts w:ascii="仿宋" w:hAnsi="仿宋"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3" w:type="dxa"/>
          </w:tcPr>
          <w:p>
            <w:pPr>
              <w:snapToGrid w:val="0"/>
              <w:spacing w:line="588" w:lineRule="exact"/>
              <w:jc w:val="left"/>
              <w:rPr>
                <w:rFonts w:ascii="仿宋" w:hAnsi="仿宋" w:eastAsia="仿宋"/>
                <w:sz w:val="32"/>
                <w:szCs w:val="32"/>
              </w:rPr>
            </w:pPr>
            <w:r>
              <w:rPr>
                <w:rFonts w:ascii="仿宋" w:hAnsi="仿宋" w:eastAsia="仿宋"/>
                <w:sz w:val="32"/>
                <w:szCs w:val="32"/>
              </w:rPr>
              <w:t>3</w:t>
            </w:r>
          </w:p>
        </w:tc>
        <w:tc>
          <w:tcPr>
            <w:tcW w:w="828" w:type="dxa"/>
          </w:tcPr>
          <w:p>
            <w:pPr>
              <w:snapToGrid w:val="0"/>
              <w:spacing w:line="588" w:lineRule="exact"/>
              <w:jc w:val="left"/>
              <w:rPr>
                <w:rFonts w:ascii="仿宋" w:hAnsi="仿宋" w:eastAsia="仿宋"/>
                <w:sz w:val="32"/>
                <w:szCs w:val="32"/>
              </w:rPr>
            </w:pPr>
            <w:r>
              <w:rPr>
                <w:rFonts w:hint="eastAsia" w:ascii="仿宋" w:hAnsi="仿宋" w:eastAsia="仿宋"/>
                <w:sz w:val="32"/>
                <w:szCs w:val="32"/>
              </w:rPr>
              <w:t>年初预算</w:t>
            </w:r>
          </w:p>
        </w:tc>
        <w:tc>
          <w:tcPr>
            <w:tcW w:w="2934" w:type="dxa"/>
          </w:tcPr>
          <w:p>
            <w:pPr>
              <w:snapToGrid w:val="0"/>
              <w:spacing w:line="588" w:lineRule="exact"/>
              <w:jc w:val="left"/>
              <w:rPr>
                <w:rFonts w:ascii="仿宋" w:hAnsi="仿宋" w:eastAsia="仿宋"/>
                <w:sz w:val="32"/>
                <w:szCs w:val="32"/>
              </w:rPr>
            </w:pPr>
            <w:r>
              <w:rPr>
                <w:rFonts w:hint="eastAsia" w:ascii="仿宋" w:hAnsi="仿宋" w:eastAsia="仿宋"/>
                <w:sz w:val="32"/>
                <w:szCs w:val="32"/>
              </w:rPr>
              <w:t>税务征收及档案整理经费</w:t>
            </w:r>
          </w:p>
        </w:tc>
        <w:tc>
          <w:tcPr>
            <w:tcW w:w="1816" w:type="dxa"/>
          </w:tcPr>
          <w:p>
            <w:pPr>
              <w:snapToGrid w:val="0"/>
              <w:spacing w:line="588" w:lineRule="exact"/>
              <w:jc w:val="left"/>
              <w:rPr>
                <w:rFonts w:ascii="仿宋" w:hAnsi="仿宋" w:eastAsia="仿宋"/>
                <w:sz w:val="32"/>
                <w:szCs w:val="32"/>
              </w:rPr>
            </w:pPr>
            <w:r>
              <w:rPr>
                <w:rFonts w:hint="eastAsia" w:ascii="仿宋" w:hAnsi="仿宋" w:eastAsia="仿宋"/>
                <w:sz w:val="32"/>
                <w:szCs w:val="32"/>
              </w:rPr>
              <w:t>230,000.00</w:t>
            </w:r>
          </w:p>
          <w:p>
            <w:pPr>
              <w:snapToGrid w:val="0"/>
              <w:spacing w:line="588" w:lineRule="exact"/>
              <w:jc w:val="left"/>
              <w:rPr>
                <w:rFonts w:ascii="仿宋" w:hAnsi="仿宋" w:eastAsia="仿宋"/>
                <w:sz w:val="32"/>
                <w:szCs w:val="32"/>
              </w:rPr>
            </w:pPr>
          </w:p>
        </w:tc>
        <w:tc>
          <w:tcPr>
            <w:tcW w:w="2296" w:type="dxa"/>
          </w:tcPr>
          <w:p>
            <w:pPr>
              <w:snapToGrid w:val="0"/>
              <w:spacing w:line="588" w:lineRule="exact"/>
              <w:jc w:val="left"/>
              <w:rPr>
                <w:rFonts w:ascii="仿宋" w:hAnsi="仿宋" w:eastAsia="仿宋"/>
                <w:sz w:val="32"/>
                <w:szCs w:val="32"/>
              </w:rPr>
            </w:pPr>
            <w:r>
              <w:rPr>
                <w:rFonts w:hint="eastAsia" w:ascii="仿宋" w:hAnsi="仿宋" w:eastAsia="仿宋"/>
                <w:sz w:val="32"/>
                <w:szCs w:val="32"/>
              </w:rPr>
              <w:t>230,000.00</w:t>
            </w:r>
          </w:p>
          <w:p>
            <w:pPr>
              <w:snapToGrid w:val="0"/>
              <w:spacing w:line="588" w:lineRule="exact"/>
              <w:jc w:val="left"/>
              <w:rPr>
                <w:rFonts w:ascii="仿宋" w:hAnsi="仿宋" w:eastAsia="仿宋"/>
                <w:sz w:val="32"/>
                <w:szCs w:val="32"/>
              </w:rPr>
            </w:pPr>
          </w:p>
        </w:tc>
        <w:tc>
          <w:tcPr>
            <w:tcW w:w="891" w:type="dxa"/>
          </w:tcPr>
          <w:p>
            <w:pPr>
              <w:snapToGrid w:val="0"/>
              <w:spacing w:line="588" w:lineRule="exact"/>
              <w:jc w:val="left"/>
              <w:rPr>
                <w:rFonts w:ascii="仿宋" w:hAnsi="仿宋"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3" w:type="dxa"/>
          </w:tcPr>
          <w:p>
            <w:pPr>
              <w:snapToGrid w:val="0"/>
              <w:spacing w:line="588" w:lineRule="exact"/>
              <w:jc w:val="left"/>
              <w:rPr>
                <w:rFonts w:ascii="仿宋" w:hAnsi="仿宋" w:eastAsia="仿宋"/>
                <w:sz w:val="32"/>
                <w:szCs w:val="32"/>
              </w:rPr>
            </w:pPr>
            <w:r>
              <w:rPr>
                <w:rFonts w:hint="eastAsia" w:ascii="仿宋" w:hAnsi="仿宋" w:eastAsia="仿宋"/>
                <w:sz w:val="32"/>
                <w:szCs w:val="32"/>
              </w:rPr>
              <w:t>合计</w:t>
            </w:r>
          </w:p>
        </w:tc>
        <w:tc>
          <w:tcPr>
            <w:tcW w:w="828" w:type="dxa"/>
          </w:tcPr>
          <w:p>
            <w:pPr>
              <w:snapToGrid w:val="0"/>
              <w:spacing w:line="588" w:lineRule="exact"/>
              <w:jc w:val="left"/>
              <w:rPr>
                <w:rFonts w:ascii="仿宋" w:hAnsi="仿宋" w:eastAsia="仿宋"/>
                <w:sz w:val="32"/>
                <w:szCs w:val="32"/>
              </w:rPr>
            </w:pPr>
          </w:p>
        </w:tc>
        <w:tc>
          <w:tcPr>
            <w:tcW w:w="2934" w:type="dxa"/>
          </w:tcPr>
          <w:p>
            <w:pPr>
              <w:snapToGrid w:val="0"/>
              <w:spacing w:line="588" w:lineRule="exact"/>
              <w:jc w:val="left"/>
              <w:rPr>
                <w:rFonts w:ascii="仿宋" w:hAnsi="仿宋" w:eastAsia="仿宋"/>
                <w:sz w:val="32"/>
                <w:szCs w:val="32"/>
              </w:rPr>
            </w:pPr>
          </w:p>
        </w:tc>
        <w:tc>
          <w:tcPr>
            <w:tcW w:w="1816" w:type="dxa"/>
          </w:tcPr>
          <w:p>
            <w:pPr>
              <w:snapToGrid w:val="0"/>
              <w:spacing w:line="588" w:lineRule="exact"/>
              <w:jc w:val="left"/>
              <w:rPr>
                <w:rFonts w:ascii="仿宋" w:hAnsi="仿宋" w:eastAsia="仿宋"/>
                <w:sz w:val="32"/>
                <w:szCs w:val="32"/>
              </w:rPr>
            </w:pPr>
            <w:r>
              <w:rPr>
                <w:rFonts w:hint="eastAsia" w:ascii="仿宋" w:hAnsi="仿宋" w:eastAsia="仿宋"/>
                <w:sz w:val="32"/>
                <w:szCs w:val="32"/>
              </w:rPr>
              <w:t>5,030,000</w:t>
            </w:r>
          </w:p>
        </w:tc>
        <w:tc>
          <w:tcPr>
            <w:tcW w:w="2296" w:type="dxa"/>
          </w:tcPr>
          <w:p>
            <w:pPr>
              <w:snapToGrid w:val="0"/>
              <w:spacing w:line="588" w:lineRule="exact"/>
              <w:jc w:val="left"/>
              <w:rPr>
                <w:rFonts w:ascii="仿宋" w:hAnsi="仿宋" w:eastAsia="仿宋"/>
                <w:sz w:val="32"/>
                <w:szCs w:val="32"/>
              </w:rPr>
            </w:pPr>
            <w:r>
              <w:rPr>
                <w:rFonts w:hint="eastAsia" w:ascii="仿宋" w:hAnsi="仿宋" w:eastAsia="仿宋"/>
                <w:sz w:val="32"/>
                <w:szCs w:val="32"/>
              </w:rPr>
              <w:t>5,028,485.94</w:t>
            </w:r>
          </w:p>
        </w:tc>
        <w:tc>
          <w:tcPr>
            <w:tcW w:w="891" w:type="dxa"/>
          </w:tcPr>
          <w:p>
            <w:pPr>
              <w:snapToGrid w:val="0"/>
              <w:spacing w:line="588" w:lineRule="exact"/>
              <w:jc w:val="left"/>
              <w:rPr>
                <w:rFonts w:ascii="仿宋" w:hAnsi="仿宋" w:eastAsia="仿宋"/>
                <w:sz w:val="32"/>
                <w:szCs w:val="32"/>
              </w:rPr>
            </w:pPr>
          </w:p>
        </w:tc>
      </w:tr>
    </w:tbl>
    <w:p>
      <w:pPr>
        <w:snapToGrid w:val="0"/>
        <w:spacing w:line="588" w:lineRule="exact"/>
        <w:jc w:val="left"/>
        <w:rPr>
          <w:rFonts w:ascii="仿宋" w:hAnsi="仿宋" w:eastAsia="仿宋"/>
          <w:sz w:val="32"/>
          <w:szCs w:val="32"/>
        </w:rPr>
      </w:pPr>
    </w:p>
    <w:p>
      <w:pPr>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项目支出的管理制度、办法的制定及执行情况</w:t>
      </w:r>
    </w:p>
    <w:p>
      <w:pPr>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区财政局按照《预算法》</w:t>
      </w:r>
      <w:r>
        <w:rPr>
          <w:rFonts w:hint="eastAsia" w:ascii="仿宋" w:hAnsi="仿宋" w:eastAsia="仿宋"/>
          <w:sz w:val="32"/>
          <w:szCs w:val="32"/>
          <w:lang w:eastAsia="zh-CN"/>
        </w:rPr>
        <w:t>《中华人民共和国政府采购法》《中华人民共和国会计法》</w:t>
      </w:r>
      <w:r>
        <w:rPr>
          <w:rFonts w:hint="eastAsia" w:ascii="仿宋" w:hAnsi="仿宋" w:eastAsia="仿宋"/>
          <w:sz w:val="32"/>
          <w:szCs w:val="32"/>
        </w:rPr>
        <w:t>等国家相关法律法规以及《行政事业单位财务制度》等相关规定，结合自身实际，制定了《昆明市五财政局机关财务管理办法》。起到了按照财经纪律规范管理使用财政对资金、物资的作用。根据行政事业单位内部控制及财政资金绩效管理等相关规定，规范了财政资金的事前、事中、事后控制，一定程度上保障了财政资金的安全性。</w:t>
      </w:r>
    </w:p>
    <w:p>
      <w:pPr>
        <w:ind w:firstLine="643" w:firstLineChars="200"/>
        <w:rPr>
          <w:rFonts w:ascii="仿宋" w:hAnsi="仿宋" w:eastAsia="仿宋"/>
          <w:b/>
          <w:sz w:val="32"/>
          <w:szCs w:val="32"/>
        </w:rPr>
      </w:pPr>
      <w:r>
        <w:rPr>
          <w:rFonts w:hint="eastAsia" w:ascii="仿宋" w:hAnsi="仿宋" w:eastAsia="仿宋"/>
          <w:b/>
          <w:sz w:val="32"/>
          <w:szCs w:val="32"/>
        </w:rPr>
        <w:t>三、项目支出绩效情况</w:t>
      </w:r>
    </w:p>
    <w:p>
      <w:pPr>
        <w:ind w:firstLine="480" w:firstLineChars="150"/>
        <w:rPr>
          <w:rFonts w:ascii="仿宋" w:hAnsi="仿宋" w:eastAsia="仿宋"/>
          <w:sz w:val="32"/>
          <w:szCs w:val="32"/>
        </w:rPr>
      </w:pPr>
      <w:r>
        <w:rPr>
          <w:rFonts w:hint="eastAsia" w:ascii="仿宋" w:hAnsi="仿宋" w:eastAsia="仿宋"/>
          <w:sz w:val="32"/>
          <w:szCs w:val="32"/>
        </w:rPr>
        <w:t>（一）经济性分析</w:t>
      </w:r>
    </w:p>
    <w:p>
      <w:pPr>
        <w:adjustRightInd w:val="0"/>
        <w:snapToGrid w:val="0"/>
        <w:spacing w:line="60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成本（预算）控制情况。</w:t>
      </w:r>
      <w:r>
        <w:rPr>
          <w:rFonts w:ascii="仿宋" w:hAnsi="仿宋" w:eastAsia="仿宋"/>
          <w:sz w:val="32"/>
          <w:szCs w:val="32"/>
        </w:rPr>
        <w:t>201</w:t>
      </w:r>
      <w:r>
        <w:rPr>
          <w:rFonts w:hint="eastAsia" w:ascii="仿宋" w:hAnsi="仿宋" w:eastAsia="仿宋"/>
          <w:sz w:val="32"/>
          <w:szCs w:val="32"/>
        </w:rPr>
        <w:t>9年五华区财政局项目支出按照《关于下达</w:t>
      </w:r>
      <w:r>
        <w:rPr>
          <w:rFonts w:ascii="仿宋" w:hAnsi="仿宋" w:eastAsia="仿宋"/>
          <w:sz w:val="32"/>
          <w:szCs w:val="32"/>
        </w:rPr>
        <w:t>201</w:t>
      </w:r>
      <w:r>
        <w:rPr>
          <w:rFonts w:hint="eastAsia" w:ascii="仿宋" w:hAnsi="仿宋" w:eastAsia="仿宋"/>
          <w:sz w:val="32"/>
          <w:szCs w:val="32"/>
        </w:rPr>
        <w:t>9年部门预算的通知》，对于项目资金严格按照</w:t>
      </w:r>
      <w:r>
        <w:rPr>
          <w:rFonts w:hint="eastAsia" w:ascii="仿宋" w:hAnsi="仿宋" w:eastAsia="仿宋"/>
          <w:sz w:val="32"/>
          <w:szCs w:val="32"/>
          <w:lang w:val="en-US" w:eastAsia="zh-CN"/>
        </w:rPr>
        <w:t>中央</w:t>
      </w:r>
      <w:r>
        <w:rPr>
          <w:rFonts w:hint="eastAsia" w:ascii="仿宋" w:hAnsi="仿宋" w:eastAsia="仿宋"/>
          <w:sz w:val="32"/>
          <w:szCs w:val="32"/>
        </w:rPr>
        <w:t>八项规定、厉行节约的要求，依据五华区</w:t>
      </w:r>
      <w:r>
        <w:rPr>
          <w:rFonts w:hint="eastAsia" w:ascii="仿宋" w:hAnsi="仿宋" w:eastAsia="仿宋"/>
          <w:bCs/>
          <w:color w:val="000000"/>
          <w:sz w:val="32"/>
          <w:szCs w:val="32"/>
        </w:rPr>
        <w:t>绩效管理要求及《五华区财政局财务管理暂行规定》执行管理，</w:t>
      </w:r>
      <w:r>
        <w:rPr>
          <w:rFonts w:hint="eastAsia" w:ascii="仿宋" w:hAnsi="仿宋" w:eastAsia="仿宋"/>
          <w:sz w:val="32"/>
          <w:szCs w:val="32"/>
        </w:rPr>
        <w:t>实行专款专用，加强对项目资金使用情况的管理和检查，自觉接受有关部门的监督，杜绝挤占、截留、挪用现象发生，切实提高了资金使用效益。</w:t>
      </w:r>
      <w:r>
        <w:rPr>
          <w:rFonts w:hint="eastAsia" w:ascii="仿宋" w:hAnsi="仿宋" w:eastAsia="仿宋"/>
          <w:bCs/>
          <w:color w:val="000000"/>
          <w:sz w:val="32"/>
          <w:szCs w:val="32"/>
        </w:rPr>
        <w:t>执行国家有关法律法规和财务规章制度，厉行节约，量入为出，保证重点，兼顾一般，严格各项资金使用，做好资金收支管理工作。</w:t>
      </w:r>
    </w:p>
    <w:p>
      <w:pPr>
        <w:ind w:firstLine="480" w:firstLineChars="150"/>
        <w:rPr>
          <w:rFonts w:ascii="仿宋" w:hAnsi="仿宋" w:eastAsia="仿宋"/>
          <w:sz w:val="32"/>
          <w:szCs w:val="32"/>
        </w:rPr>
      </w:pPr>
      <w:r>
        <w:rPr>
          <w:rFonts w:hint="eastAsia" w:ascii="仿宋" w:hAnsi="仿宋" w:eastAsia="仿宋"/>
          <w:sz w:val="32"/>
          <w:szCs w:val="32"/>
        </w:rPr>
        <w:t>（二）效率性分析</w:t>
      </w:r>
    </w:p>
    <w:p>
      <w:pPr>
        <w:spacing w:line="560" w:lineRule="exact"/>
        <w:ind w:firstLine="640" w:firstLineChars="200"/>
        <w:rPr>
          <w:rFonts w:ascii="仿宋" w:hAnsi="仿宋" w:eastAsia="仿宋"/>
          <w:sz w:val="32"/>
          <w:szCs w:val="32"/>
        </w:rPr>
      </w:pPr>
      <w:r>
        <w:rPr>
          <w:rFonts w:ascii="仿宋" w:hAnsi="仿宋" w:eastAsia="仿宋"/>
          <w:sz w:val="32"/>
          <w:szCs w:val="32"/>
        </w:rPr>
        <w:t>201</w:t>
      </w:r>
      <w:r>
        <w:rPr>
          <w:rFonts w:hint="eastAsia" w:ascii="仿宋" w:hAnsi="仿宋" w:eastAsia="仿宋"/>
          <w:sz w:val="32"/>
          <w:szCs w:val="32"/>
        </w:rPr>
        <w:t>9年，区财政局在区委、区政府稳增长工作要求下，从以下几个方面完成了工作：</w:t>
      </w:r>
      <w:r>
        <w:rPr>
          <w:rFonts w:ascii="仿宋" w:hAnsi="仿宋" w:eastAsia="仿宋"/>
          <w:sz w:val="32"/>
          <w:szCs w:val="32"/>
        </w:rPr>
        <w:t xml:space="preserve"> </w:t>
      </w:r>
      <w:r>
        <w:rPr>
          <w:rFonts w:hint="eastAsia" w:ascii="仿宋" w:hAnsi="仿宋" w:eastAsia="仿宋"/>
          <w:sz w:val="32"/>
          <w:szCs w:val="32"/>
        </w:rPr>
        <w:t>一是拓宽收入渠道，增强财政实力；二是优化支出结构，完善保障机制；三是深化财政改革，提升管理水平；四是强化风险防控，扩大融资渠道；五是加强资金管理，提高使用效率；六是狠抓党建工作，筑牢思想根基。</w:t>
      </w:r>
    </w:p>
    <w:p>
      <w:pPr>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三</w:t>
      </w:r>
      <w:r>
        <w:rPr>
          <w:rFonts w:ascii="仿宋" w:hAnsi="仿宋" w:eastAsia="仿宋"/>
          <w:sz w:val="32"/>
          <w:szCs w:val="32"/>
        </w:rPr>
        <w:t>)</w:t>
      </w:r>
      <w:r>
        <w:rPr>
          <w:rFonts w:hint="eastAsia" w:ascii="仿宋" w:hAnsi="仿宋" w:eastAsia="仿宋"/>
          <w:sz w:val="32"/>
          <w:szCs w:val="32"/>
        </w:rPr>
        <w:t>履职效益分析</w:t>
      </w:r>
    </w:p>
    <w:p>
      <w:pPr>
        <w:ind w:firstLine="640" w:firstLineChars="200"/>
        <w:rPr>
          <w:rFonts w:ascii="仿宋" w:hAnsi="仿宋" w:eastAsia="仿宋"/>
          <w:sz w:val="32"/>
          <w:szCs w:val="32"/>
        </w:rPr>
      </w:pPr>
      <w:r>
        <w:rPr>
          <w:rFonts w:hint="eastAsia" w:ascii="仿宋" w:hAnsi="仿宋" w:eastAsia="仿宋"/>
          <w:sz w:val="32"/>
          <w:szCs w:val="32"/>
        </w:rPr>
        <w:t>区财政局的主要职能是：贯彻落实国家、省、市财税方针政策，承担区级各项财政收支管理任务，行政事业单位国有资产、会计工作等财政事务。是政府的重要职能部门。</w:t>
      </w:r>
      <w:r>
        <w:rPr>
          <w:rFonts w:ascii="仿宋" w:hAnsi="仿宋" w:eastAsia="仿宋"/>
          <w:sz w:val="32"/>
          <w:szCs w:val="32"/>
        </w:rPr>
        <w:t>201</w:t>
      </w:r>
      <w:r>
        <w:rPr>
          <w:rFonts w:hint="eastAsia" w:ascii="仿宋" w:hAnsi="仿宋" w:eastAsia="仿宋"/>
          <w:sz w:val="32"/>
          <w:szCs w:val="32"/>
        </w:rPr>
        <w:t>9年，改革预算编审体系，改进预算控制方式，完善透明预算制度，全面推进行政事业单位内部控制制度建设。</w:t>
      </w:r>
    </w:p>
    <w:p>
      <w:pPr>
        <w:ind w:firstLine="640" w:firstLineChars="200"/>
        <w:rPr>
          <w:rFonts w:ascii="仿宋" w:hAnsi="仿宋" w:eastAsia="仿宋"/>
          <w:sz w:val="32"/>
          <w:szCs w:val="32"/>
        </w:rPr>
      </w:pPr>
      <w:r>
        <w:rPr>
          <w:rFonts w:hint="eastAsia" w:ascii="仿宋" w:hAnsi="仿宋" w:eastAsia="仿宋"/>
          <w:sz w:val="32"/>
          <w:szCs w:val="32"/>
        </w:rPr>
        <w:t>（三）可持续性分析</w:t>
      </w:r>
    </w:p>
    <w:p>
      <w:pPr>
        <w:ind w:firstLine="640" w:firstLineChars="200"/>
        <w:rPr>
          <w:rFonts w:ascii="仿宋" w:hAnsi="仿宋" w:eastAsia="仿宋"/>
          <w:sz w:val="32"/>
          <w:szCs w:val="32"/>
        </w:rPr>
      </w:pPr>
      <w:r>
        <w:rPr>
          <w:rFonts w:hint="eastAsia" w:ascii="仿宋" w:hAnsi="仿宋" w:eastAsia="仿宋"/>
          <w:sz w:val="32"/>
          <w:szCs w:val="32"/>
        </w:rPr>
        <w:t>项目支出是区财政局针对财政部门的职能职责和财政局的实际业务工作开展情况需要制定的，保障了全区财政工作的正常有序开展，提高了财政工作的效率。</w:t>
      </w:r>
    </w:p>
    <w:p>
      <w:pPr>
        <w:ind w:firstLine="643" w:firstLineChars="200"/>
        <w:rPr>
          <w:rFonts w:ascii="仿宋" w:hAnsi="仿宋" w:eastAsia="仿宋"/>
          <w:b/>
          <w:sz w:val="32"/>
          <w:szCs w:val="32"/>
        </w:rPr>
      </w:pPr>
      <w:r>
        <w:rPr>
          <w:rFonts w:hint="eastAsia" w:ascii="仿宋" w:hAnsi="仿宋" w:eastAsia="仿宋"/>
          <w:b/>
          <w:sz w:val="32"/>
          <w:szCs w:val="32"/>
        </w:rPr>
        <w:t>四、评价结果</w:t>
      </w:r>
    </w:p>
    <w:p>
      <w:pPr>
        <w:ind w:firstLine="640" w:firstLineChars="200"/>
        <w:rPr>
          <w:rFonts w:ascii="仿宋" w:hAnsi="仿宋" w:eastAsia="仿宋"/>
          <w:sz w:val="32"/>
          <w:szCs w:val="32"/>
        </w:rPr>
      </w:pPr>
      <w:r>
        <w:rPr>
          <w:rFonts w:hint="eastAsia" w:ascii="仿宋" w:hAnsi="仿宋" w:eastAsia="仿宋"/>
          <w:sz w:val="32"/>
          <w:szCs w:val="32"/>
        </w:rPr>
        <w:t>经过评价小组对项目绩效情况进行综合打分，评价为优秀等次。</w:t>
      </w:r>
    </w:p>
    <w:p>
      <w:pPr>
        <w:ind w:firstLine="643" w:firstLineChars="200"/>
        <w:rPr>
          <w:rFonts w:ascii="仿宋" w:hAnsi="仿宋" w:eastAsia="仿宋"/>
          <w:b/>
          <w:sz w:val="32"/>
          <w:szCs w:val="32"/>
        </w:rPr>
      </w:pPr>
      <w:r>
        <w:rPr>
          <w:rFonts w:hint="eastAsia" w:ascii="仿宋" w:hAnsi="仿宋" w:eastAsia="仿宋"/>
          <w:b/>
          <w:sz w:val="32"/>
          <w:szCs w:val="32"/>
        </w:rPr>
        <w:t>五、存在的主要问题</w:t>
      </w:r>
    </w:p>
    <w:p>
      <w:pPr>
        <w:ind w:firstLine="640" w:firstLineChars="200"/>
        <w:rPr>
          <w:rFonts w:ascii="仿宋" w:hAnsi="仿宋" w:eastAsia="仿宋"/>
          <w:sz w:val="32"/>
          <w:szCs w:val="32"/>
        </w:rPr>
      </w:pPr>
      <w:r>
        <w:rPr>
          <w:rFonts w:hint="eastAsia" w:ascii="仿宋" w:hAnsi="仿宋" w:eastAsia="仿宋"/>
          <w:sz w:val="32"/>
          <w:szCs w:val="32"/>
        </w:rPr>
        <w:t>项目支出预算下达的任务与实际完成存在差距，绩效管理不够细化，对项目支出的投入、实施、跟踪、效果监督不够。</w:t>
      </w:r>
    </w:p>
    <w:p>
      <w:pPr>
        <w:ind w:firstLine="640" w:firstLineChars="200"/>
        <w:rPr>
          <w:rFonts w:ascii="仿宋" w:hAnsi="仿宋" w:eastAsia="仿宋"/>
          <w:sz w:val="32"/>
          <w:szCs w:val="32"/>
        </w:rPr>
      </w:pPr>
      <w:r>
        <w:rPr>
          <w:rFonts w:hint="eastAsia" w:ascii="仿宋" w:hAnsi="仿宋" w:eastAsia="仿宋"/>
          <w:sz w:val="32"/>
          <w:szCs w:val="32"/>
        </w:rPr>
        <w:t>六、改进措施与有关建议</w:t>
      </w:r>
    </w:p>
    <w:p>
      <w:pPr>
        <w:ind w:firstLine="640" w:firstLineChars="200"/>
        <w:rPr>
          <w:rFonts w:ascii="仿宋" w:hAnsi="仿宋" w:eastAsia="仿宋"/>
          <w:sz w:val="32"/>
          <w:szCs w:val="32"/>
        </w:rPr>
      </w:pPr>
      <w:r>
        <w:rPr>
          <w:rFonts w:hint="eastAsia" w:ascii="仿宋" w:hAnsi="仿宋" w:eastAsia="仿宋"/>
          <w:sz w:val="32"/>
          <w:szCs w:val="32"/>
        </w:rPr>
        <w:t>1.建立健全相关制度。及时随着社会发展更新本部门制度，完善和细化项目支出的跟踪、监督、绩效管理。</w:t>
      </w:r>
    </w:p>
    <w:p>
      <w:pPr>
        <w:ind w:firstLine="640" w:firstLineChars="200"/>
        <w:rPr>
          <w:rFonts w:ascii="仿宋" w:hAnsi="仿宋" w:eastAsia="仿宋"/>
          <w:sz w:val="32"/>
          <w:szCs w:val="32"/>
        </w:rPr>
      </w:pPr>
      <w:r>
        <w:rPr>
          <w:rFonts w:hint="eastAsia" w:ascii="仿宋" w:hAnsi="仿宋" w:eastAsia="仿宋"/>
          <w:sz w:val="32"/>
          <w:szCs w:val="32"/>
        </w:rPr>
        <w:t>2.进一步完善和细化绩效指标。在绩效指标设定方面，我局结合工作实际，不断进行优化和调整，下一步，在2020年绩效指标设计时，我们将在绩效管理科的指导帮助下，借鉴好的经验和做法，本着科学、合理、完善的原则，对项目支出绩效自评指标体系中的三级指标进行再优化和完善，使绩效目标量化、细化并严格执行，以绩效评估、考核促进项目前期工作管理水平提升，同时注重绩效跟踪落实工作。</w:t>
      </w:r>
    </w:p>
    <w:p>
      <w:pPr>
        <w:ind w:firstLine="640" w:firstLineChars="200"/>
        <w:rPr>
          <w:rFonts w:ascii="仿宋" w:hAnsi="仿宋" w:eastAsia="仿宋"/>
          <w:sz w:val="32"/>
          <w:szCs w:val="32"/>
        </w:rPr>
      </w:pPr>
      <w:r>
        <w:rPr>
          <w:rFonts w:hint="eastAsia" w:ascii="仿宋" w:hAnsi="仿宋" w:eastAsia="仿宋"/>
          <w:sz w:val="32"/>
          <w:szCs w:val="32"/>
        </w:rPr>
        <w:t>3.进一步加强项目管理和监督。针对部分项目前期工作推行缓慢，不能按计划执行，我局拟对近年下达的项目计划进行梳理，研究更有效的方法提高项目前期资金的使用效率。</w:t>
      </w:r>
    </w:p>
    <w:p>
      <w:pPr>
        <w:spacing w:line="560" w:lineRule="exact"/>
        <w:rPr>
          <w:rFonts w:ascii="仿宋" w:hAnsi="仿宋" w:eastAsia="仿宋"/>
          <w:b/>
          <w:sz w:val="32"/>
          <w:szCs w:val="32"/>
        </w:rPr>
      </w:pPr>
      <w:r>
        <w:rPr>
          <w:rFonts w:hint="eastAsia" w:ascii="仿宋" w:hAnsi="仿宋" w:eastAsia="仿宋"/>
          <w:b/>
          <w:sz w:val="32"/>
          <w:szCs w:val="32"/>
        </w:rPr>
        <w:t xml:space="preserve">    </w:t>
      </w:r>
    </w:p>
    <w:p>
      <w:pPr>
        <w:spacing w:line="560" w:lineRule="exact"/>
        <w:rPr>
          <w:rFonts w:ascii="仿宋" w:hAnsi="仿宋" w:eastAsia="仿宋"/>
          <w:b/>
          <w:sz w:val="32"/>
          <w:szCs w:val="32"/>
        </w:rPr>
      </w:pPr>
    </w:p>
    <w:p>
      <w:pPr>
        <w:spacing w:line="560" w:lineRule="exact"/>
        <w:rPr>
          <w:rFonts w:ascii="仿宋" w:hAnsi="仿宋" w:eastAsia="仿宋"/>
          <w:b/>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fldChar w:fldCharType="begin"/>
    </w:r>
    <w:r>
      <w:instrText xml:space="preserve"> PAGE   \* MERGEFORMAT </w:instrText>
    </w:r>
    <w:r>
      <w:fldChar w:fldCharType="separate"/>
    </w:r>
    <w:r>
      <w:rPr>
        <w:lang w:val="zh-CN"/>
      </w:rPr>
      <w:t>1</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3YWRkZmU5OTJhNGQyMDFmYzgxYmU0MjIxODYxNTUifQ=="/>
  </w:docVars>
  <w:rsids>
    <w:rsidRoot w:val="00363572"/>
    <w:rsid w:val="00035F98"/>
    <w:rsid w:val="00054210"/>
    <w:rsid w:val="0007370D"/>
    <w:rsid w:val="00077EA9"/>
    <w:rsid w:val="001224DB"/>
    <w:rsid w:val="0014693B"/>
    <w:rsid w:val="0017574E"/>
    <w:rsid w:val="00177E02"/>
    <w:rsid w:val="00201820"/>
    <w:rsid w:val="002150D2"/>
    <w:rsid w:val="00227A8E"/>
    <w:rsid w:val="0025491E"/>
    <w:rsid w:val="00274DD6"/>
    <w:rsid w:val="002B6FF7"/>
    <w:rsid w:val="002C144C"/>
    <w:rsid w:val="002C3BE4"/>
    <w:rsid w:val="00357143"/>
    <w:rsid w:val="00363572"/>
    <w:rsid w:val="00364993"/>
    <w:rsid w:val="003765EA"/>
    <w:rsid w:val="00377DBB"/>
    <w:rsid w:val="003A7E04"/>
    <w:rsid w:val="003B43AD"/>
    <w:rsid w:val="003D1977"/>
    <w:rsid w:val="0040460B"/>
    <w:rsid w:val="00495BF9"/>
    <w:rsid w:val="00500737"/>
    <w:rsid w:val="005076E8"/>
    <w:rsid w:val="00527D80"/>
    <w:rsid w:val="005B448D"/>
    <w:rsid w:val="005C0552"/>
    <w:rsid w:val="00605909"/>
    <w:rsid w:val="00624BF4"/>
    <w:rsid w:val="00627120"/>
    <w:rsid w:val="00652AAB"/>
    <w:rsid w:val="00684E02"/>
    <w:rsid w:val="006B2BF2"/>
    <w:rsid w:val="006C387A"/>
    <w:rsid w:val="007A41EA"/>
    <w:rsid w:val="00854F1A"/>
    <w:rsid w:val="0089606B"/>
    <w:rsid w:val="008E2036"/>
    <w:rsid w:val="009163DC"/>
    <w:rsid w:val="00927DEE"/>
    <w:rsid w:val="009B3192"/>
    <w:rsid w:val="009B5C62"/>
    <w:rsid w:val="009E1122"/>
    <w:rsid w:val="009E5931"/>
    <w:rsid w:val="00A01672"/>
    <w:rsid w:val="00A20AC5"/>
    <w:rsid w:val="00A2151D"/>
    <w:rsid w:val="00A446DB"/>
    <w:rsid w:val="00A64205"/>
    <w:rsid w:val="00AB2AAE"/>
    <w:rsid w:val="00AD0301"/>
    <w:rsid w:val="00AD6255"/>
    <w:rsid w:val="00B0305F"/>
    <w:rsid w:val="00B042C6"/>
    <w:rsid w:val="00B11631"/>
    <w:rsid w:val="00B16CB2"/>
    <w:rsid w:val="00B67A67"/>
    <w:rsid w:val="00BA44D7"/>
    <w:rsid w:val="00BF250E"/>
    <w:rsid w:val="00C0039F"/>
    <w:rsid w:val="00C87A0C"/>
    <w:rsid w:val="00CA4578"/>
    <w:rsid w:val="00D10F5D"/>
    <w:rsid w:val="00D40937"/>
    <w:rsid w:val="00D46561"/>
    <w:rsid w:val="00D5447E"/>
    <w:rsid w:val="00D86A9E"/>
    <w:rsid w:val="00DE644A"/>
    <w:rsid w:val="00DF3935"/>
    <w:rsid w:val="00E35CB1"/>
    <w:rsid w:val="00E569C4"/>
    <w:rsid w:val="00E62DD4"/>
    <w:rsid w:val="00E8028F"/>
    <w:rsid w:val="00E96FE6"/>
    <w:rsid w:val="00EB2C8F"/>
    <w:rsid w:val="00F0300F"/>
    <w:rsid w:val="00F6333E"/>
    <w:rsid w:val="00FC7F71"/>
    <w:rsid w:val="00FF61C4"/>
    <w:rsid w:val="06D83D24"/>
    <w:rsid w:val="072C4924"/>
    <w:rsid w:val="13176561"/>
    <w:rsid w:val="5CA472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2"/>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13"/>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styleId="6">
    <w:name w:val="Title"/>
    <w:basedOn w:val="1"/>
    <w:link w:val="16"/>
    <w:autoRedefine/>
    <w:qFormat/>
    <w:uiPriority w:val="99"/>
    <w:pPr>
      <w:adjustRightInd w:val="0"/>
      <w:spacing w:before="240" w:after="60" w:line="312" w:lineRule="atLeast"/>
      <w:jc w:val="center"/>
    </w:pPr>
    <w:rPr>
      <w:rFonts w:ascii="Arial" w:hAnsi="Arial"/>
      <w:b/>
      <w:kern w:val="28"/>
      <w:sz w:val="32"/>
      <w:szCs w:val="20"/>
    </w:rPr>
  </w:style>
  <w:style w:type="character" w:customStyle="1" w:styleId="9">
    <w:name w:val="页脚 Char"/>
    <w:basedOn w:val="8"/>
    <w:link w:val="3"/>
    <w:autoRedefine/>
    <w:qFormat/>
    <w:uiPriority w:val="99"/>
    <w:rPr>
      <w:rFonts w:ascii="Calibri" w:hAnsi="Calibri" w:eastAsia="宋体" w:cs="Times New Roman"/>
      <w:sz w:val="18"/>
      <w:szCs w:val="18"/>
    </w:rPr>
  </w:style>
  <w:style w:type="paragraph" w:customStyle="1" w:styleId="10">
    <w:name w:val="TOC 标题1"/>
    <w:basedOn w:val="2"/>
    <w:next w:val="1"/>
    <w:autoRedefine/>
    <w:qFormat/>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11">
    <w:name w:val="正文 A"/>
    <w:autoRedefine/>
    <w:qFormat/>
    <w:uiPriority w:val="99"/>
    <w:pPr>
      <w:spacing w:after="200" w:line="276" w:lineRule="auto"/>
    </w:pPr>
    <w:rPr>
      <w:rFonts w:ascii="Calibri" w:hAnsi="Calibri" w:eastAsia="宋体" w:cs="Calibri"/>
      <w:color w:val="000000"/>
      <w:kern w:val="0"/>
      <w:sz w:val="22"/>
      <w:szCs w:val="22"/>
      <w:u w:color="000000"/>
      <w:lang w:val="en-US" w:eastAsia="zh-CN" w:bidi="ar-SA"/>
    </w:rPr>
  </w:style>
  <w:style w:type="character" w:customStyle="1" w:styleId="12">
    <w:name w:val="标题 1 Char"/>
    <w:basedOn w:val="8"/>
    <w:link w:val="2"/>
    <w:autoRedefine/>
    <w:qFormat/>
    <w:uiPriority w:val="9"/>
    <w:rPr>
      <w:rFonts w:ascii="Calibri" w:hAnsi="Calibri" w:eastAsia="宋体" w:cs="Times New Roman"/>
      <w:b/>
      <w:bCs/>
      <w:kern w:val="44"/>
      <w:sz w:val="44"/>
      <w:szCs w:val="44"/>
    </w:rPr>
  </w:style>
  <w:style w:type="character" w:customStyle="1" w:styleId="13">
    <w:name w:val="页眉 Char"/>
    <w:basedOn w:val="8"/>
    <w:link w:val="4"/>
    <w:autoRedefine/>
    <w:semiHidden/>
    <w:qFormat/>
    <w:uiPriority w:val="99"/>
    <w:rPr>
      <w:rFonts w:ascii="Calibri" w:hAnsi="Calibri" w:eastAsia="宋体" w:cs="Times New Roman"/>
      <w:sz w:val="18"/>
      <w:szCs w:val="18"/>
    </w:rPr>
  </w:style>
  <w:style w:type="character" w:customStyle="1" w:styleId="14">
    <w:name w:val="apple-style-span"/>
    <w:autoRedefine/>
    <w:qFormat/>
    <w:uiPriority w:val="99"/>
  </w:style>
  <w:style w:type="paragraph" w:styleId="15">
    <w:name w:val="List Paragraph"/>
    <w:basedOn w:val="1"/>
    <w:autoRedefine/>
    <w:qFormat/>
    <w:uiPriority w:val="99"/>
    <w:pPr>
      <w:ind w:firstLine="420" w:firstLineChars="200"/>
    </w:pPr>
  </w:style>
  <w:style w:type="character" w:customStyle="1" w:styleId="16">
    <w:name w:val="标题 Char"/>
    <w:basedOn w:val="8"/>
    <w:link w:val="6"/>
    <w:autoRedefine/>
    <w:qFormat/>
    <w:uiPriority w:val="99"/>
    <w:rPr>
      <w:rFonts w:ascii="Arial" w:hAnsi="Arial" w:eastAsia="宋体" w:cs="Times New Roman"/>
      <w:b/>
      <w:kern w:val="28"/>
      <w:sz w:val="32"/>
      <w:szCs w:val="20"/>
    </w:rPr>
  </w:style>
  <w:style w:type="character" w:customStyle="1" w:styleId="17">
    <w:name w:val="公文文种"/>
    <w:autoRedefine/>
    <w:qFormat/>
    <w:uiPriority w:val="99"/>
    <w:rPr>
      <w:rFonts w:hint="eastAsia" w:ascii="宋体" w:hAnsi="宋体" w:eastAsia="宋体"/>
      <w:sz w:val="32"/>
    </w:rPr>
  </w:style>
  <w:style w:type="character" w:customStyle="1" w:styleId="18">
    <w:name w:val="公文文号"/>
    <w:autoRedefine/>
    <w:qFormat/>
    <w:uiPriority w:val="99"/>
    <w:rPr>
      <w:rFonts w:hint="eastAsia" w:ascii="仿宋_GB2312" w:eastAsia="仿宋_GB2312"/>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2003A6-2520-4E88-8D6A-72EAB930B1B0}">
  <ds:schemaRefs/>
</ds:datastoreItem>
</file>

<file path=docProps/app.xml><?xml version="1.0" encoding="utf-8"?>
<Properties xmlns="http://schemas.openxmlformats.org/officeDocument/2006/extended-properties" xmlns:vt="http://schemas.openxmlformats.org/officeDocument/2006/docPropsVTypes">
  <Template>Normal.dotm</Template>
  <Pages>6</Pages>
  <Words>1762</Words>
  <Characters>1931</Characters>
  <Lines>14</Lines>
  <Paragraphs>4</Paragraphs>
  <TotalTime>61</TotalTime>
  <ScaleCrop>false</ScaleCrop>
  <LinksUpToDate>false</LinksUpToDate>
  <CharactersWithSpaces>2010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2020-01-13T02:09:00Z</dcterms:created>
  <dc:creator>hp</dc:creator>
  <cp:lastModifiedBy>岂曰无衣</cp:lastModifiedBy>
  <dcterms:modified xsi:type="dcterms:W3CDTF">2024-04-17T07:16:59Z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D2DE21285B6A49538C73C06333408A6E_13</vt:lpwstr>
  </property>
</Properties>
</file>