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399"/>
        <w:gridCol w:w="2057"/>
        <w:gridCol w:w="1457"/>
        <w:gridCol w:w="1382"/>
        <w:gridCol w:w="2079"/>
        <w:gridCol w:w="1971"/>
        <w:gridCol w:w="2111"/>
        <w:gridCol w:w="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五华区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税务局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部门联合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随机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抽查事项清单（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1个领域1项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eastAsia="zh-CN"/>
              </w:rPr>
              <w:t>发起部门检查事项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参与</w:t>
            </w: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部门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参与部门检查事项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涉税涉费事项抽查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与职能部门共同进行涉税涉费事项检查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纳税人、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扣缴义务人、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缴费人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税务部门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税务检查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市场监管部门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登记事项检查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公示信息检查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143D"/>
    <w:rsid w:val="2D3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2023-12-29T02:09:00Z</dcterms:created>
  <dc:creator>梁雪蕊</dc:creator>
  <cp:lastModifiedBy>梁雪蕊</cp:lastModifiedBy>
  <dcterms:modified xsi:type="dcterms:W3CDTF">2023-12-29T02:32:21Z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