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公章刻制业特种行业许可</w:t>
      </w:r>
      <w:r>
        <w:rPr>
          <w:rFonts w:hint="eastAsia" w:ascii="Times New Roman" w:hAnsi="Times New Roman" w:eastAsia="方正小标宋简体"/>
          <w:sz w:val="44"/>
          <w:szCs w:val="44"/>
          <w:lang w:eastAsia="zh-CN"/>
        </w:rPr>
        <w:t>证核发</w:t>
      </w:r>
      <w:r>
        <w:rPr>
          <w:rFonts w:ascii="Times New Roman" w:hAnsi="Times New Roman" w:eastAsia="方正小标宋简体"/>
          <w:sz w:val="44"/>
          <w:szCs w:val="44"/>
        </w:rPr>
        <w:t>（县级权限）【</w:t>
      </w:r>
      <w:r>
        <w:rPr>
          <w:rFonts w:hint="eastAsia" w:ascii="Times New Roman" w:hAnsi="Times New Roman" w:eastAsia="方正小标宋简体"/>
          <w:sz w:val="44"/>
          <w:szCs w:val="44"/>
          <w:lang w:val="en-US" w:eastAsia="zh-CN"/>
        </w:rPr>
        <w:t>530109008W03</w:t>
      </w:r>
      <w:r>
        <w:rPr>
          <w:rFonts w:ascii="Times New Roman" w:hAnsi="Times New Roman" w:eastAsia="方正小标宋简体"/>
          <w:sz w:val="44"/>
          <w:szCs w:val="44"/>
        </w:rPr>
        <w:t>】</w:t>
      </w:r>
    </w:p>
    <w:p>
      <w:pPr>
        <w:spacing w:line="660" w:lineRule="exact"/>
        <w:jc w:val="center"/>
        <w:rPr>
          <w:rFonts w:ascii="Times New Roman" w:hAnsi="Times New Roman" w:eastAsia="方正小标宋简体"/>
          <w:sz w:val="44"/>
          <w:szCs w:val="44"/>
        </w:rPr>
      </w:pPr>
    </w:p>
    <w:p>
      <w:pPr>
        <w:spacing w:line="560" w:lineRule="exact"/>
        <w:ind w:firstLine="640" w:firstLineChars="200"/>
        <w:outlineLvl w:val="1"/>
        <w:rPr>
          <w:rFonts w:hint="eastAsia" w:ascii="Times New Roman" w:hAnsi="Times New Roman" w:eastAsia="黑体"/>
          <w:sz w:val="32"/>
          <w:szCs w:val="32"/>
        </w:rPr>
      </w:pP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一、基本要素</w:t>
      </w:r>
    </w:p>
    <w:p>
      <w:pPr>
        <w:spacing w:line="56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1.行政许可事项名称及编码</w:t>
      </w:r>
    </w:p>
    <w:p>
      <w:pPr>
        <w:spacing w:line="560" w:lineRule="exact"/>
        <w:ind w:firstLine="643" w:firstLineChars="200"/>
        <w:outlineLvl w:val="2"/>
        <w:rPr>
          <w:rFonts w:ascii="Times New Roman" w:hAnsi="Times New Roman" w:eastAsia="仿宋GB2312"/>
          <w:b/>
          <w:bCs/>
          <w:sz w:val="32"/>
          <w:szCs w:val="32"/>
        </w:rPr>
      </w:pPr>
      <w:r>
        <w:rPr>
          <w:rFonts w:hint="eastAsia" w:ascii="Times New Roman" w:hAnsi="Times New Roman" w:eastAsia="仿宋GB2312"/>
          <w:b/>
          <w:bCs/>
          <w:sz w:val="32"/>
          <w:szCs w:val="32"/>
        </w:rPr>
        <w:t>公章刻制业特种行业许可</w:t>
      </w:r>
      <w:r>
        <w:rPr>
          <w:rFonts w:hint="eastAsia" w:ascii="Times New Roman" w:hAnsi="Times New Roman" w:eastAsia="仿宋GB2312"/>
          <w:b/>
          <w:bCs/>
          <w:sz w:val="32"/>
          <w:szCs w:val="32"/>
          <w:lang w:eastAsia="zh-CN"/>
        </w:rPr>
        <w:t>证核发</w:t>
      </w:r>
      <w:r>
        <w:rPr>
          <w:rFonts w:ascii="Times New Roman" w:hAnsi="Times New Roman" w:eastAsia="仿宋GB2312"/>
          <w:b/>
          <w:bCs/>
          <w:sz w:val="32"/>
          <w:szCs w:val="32"/>
        </w:rPr>
        <w:t>【</w:t>
      </w:r>
      <w:r>
        <w:rPr>
          <w:rFonts w:hint="eastAsia" w:ascii="Times New Roman" w:hAnsi="Times New Roman" w:eastAsia="仿宋GB2312"/>
          <w:b/>
          <w:bCs/>
          <w:sz w:val="32"/>
          <w:szCs w:val="32"/>
          <w:lang w:val="en-US" w:eastAsia="zh-CN"/>
        </w:rPr>
        <w:t>530109008W03</w:t>
      </w:r>
      <w:r>
        <w:rPr>
          <w:rFonts w:ascii="Times New Roman" w:hAnsi="Times New Roman" w:eastAsia="仿宋GB2312"/>
          <w:b/>
          <w:bCs/>
          <w:sz w:val="32"/>
          <w:szCs w:val="32"/>
        </w:rPr>
        <w:t>】</w:t>
      </w:r>
    </w:p>
    <w:p>
      <w:pPr>
        <w:spacing w:line="560" w:lineRule="exact"/>
        <w:ind w:firstLine="643" w:firstLineChars="200"/>
        <w:outlineLvl w:val="2"/>
        <w:rPr>
          <w:rFonts w:ascii="Times New Roman" w:hAnsi="Times New Roman" w:eastAsia="仿宋GB2312"/>
          <w:b/>
          <w:bCs/>
          <w:sz w:val="32"/>
          <w:szCs w:val="32"/>
        </w:rPr>
      </w:pPr>
      <w:r>
        <w:rPr>
          <w:rFonts w:hint="eastAsia" w:ascii="Times New Roman" w:hAnsi="Times New Roman" w:eastAsia="仿宋GB2312"/>
          <w:b/>
          <w:bCs/>
          <w:sz w:val="32"/>
          <w:szCs w:val="32"/>
          <w:lang w:val="en-US" w:eastAsia="zh-CN"/>
        </w:rPr>
        <w:t>2.</w:t>
      </w:r>
      <w:r>
        <w:rPr>
          <w:rFonts w:ascii="Times New Roman" w:hAnsi="Times New Roman" w:eastAsia="仿宋GB2312"/>
          <w:b/>
          <w:bCs/>
          <w:sz w:val="32"/>
          <w:szCs w:val="32"/>
        </w:rPr>
        <w:t>行政许可事项子项名称及编码</w:t>
      </w:r>
    </w:p>
    <w:p>
      <w:pPr>
        <w:spacing w:line="560" w:lineRule="exact"/>
        <w:ind w:firstLine="643" w:firstLineChars="200"/>
        <w:outlineLvl w:val="2"/>
        <w:rPr>
          <w:rFonts w:hint="default" w:ascii="Times New Roman" w:hAnsi="Times New Roman" w:eastAsia="仿宋GB2312"/>
          <w:b/>
          <w:bCs/>
          <w:sz w:val="32"/>
          <w:szCs w:val="32"/>
          <w:lang w:val="en-US" w:eastAsia="zh-CN"/>
        </w:rPr>
      </w:pPr>
      <w:r>
        <w:rPr>
          <w:rFonts w:hint="eastAsia" w:ascii="Times New Roman" w:hAnsi="Times New Roman" w:eastAsia="仿宋GB2312"/>
          <w:b/>
          <w:bCs/>
          <w:sz w:val="32"/>
          <w:szCs w:val="32"/>
          <w:lang w:val="en-US" w:eastAsia="zh-CN"/>
        </w:rPr>
        <w:t>无</w:t>
      </w:r>
    </w:p>
    <w:p>
      <w:pPr>
        <w:spacing w:line="56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3.行政许可事项业务办理项名称及编码</w:t>
      </w:r>
    </w:p>
    <w:p>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4.设定和实施依据</w:t>
      </w:r>
    </w:p>
    <w:p>
      <w:pPr>
        <w:spacing w:line="560" w:lineRule="exact"/>
        <w:ind w:firstLine="643" w:firstLineChars="200"/>
        <w:outlineLvl w:val="2"/>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《印铸刻字业暂行管理规则》第三条凡经营印铸刻字业者，须先向该管市（县）人民政府公安局或分局申请登记</w:t>
      </w:r>
      <w:r>
        <w:rPr>
          <w:rFonts w:hint="eastAsia" w:ascii="Times New Roman" w:hAnsi="Times New Roman" w:eastAsia="仿宋GB2312"/>
          <w:b/>
          <w:bCs/>
          <w:sz w:val="32"/>
          <w:szCs w:val="32"/>
          <w:lang w:eastAsia="zh-CN"/>
        </w:rPr>
        <w:t>。</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《国务院对确需保留的行政审批项目设定行政许可的决定》附件第37项公章刻制业特种行业许可证核发；实施机关：县级以上地方人民政府公安机关。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《国务院关于第三批取消和调整行政审批项目的决定》附件第41项取消非机构印章刻制单位审批。实施机关：县级以上地方人民政府公安机关。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《国务院关于取消和调整一批行政审批项目等事项的决定》附件4第6项公章刻制业特种行业许可证核发改为后置审批。</w:t>
      </w:r>
    </w:p>
    <w:p>
      <w:pPr>
        <w:numPr>
          <w:ilvl w:val="0"/>
          <w:numId w:val="1"/>
        </w:num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实施依据</w:t>
      </w:r>
    </w:p>
    <w:p>
      <w:pPr>
        <w:spacing w:line="560" w:lineRule="exact"/>
        <w:ind w:firstLine="643" w:firstLineChars="200"/>
        <w:outlineLvl w:val="2"/>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《印铸刻字业暂行管理规则》第三条凡经营印铸刻字业者，须先向该管市（县）人民政府公安局或分局申请登记</w:t>
      </w:r>
      <w:r>
        <w:rPr>
          <w:rFonts w:hint="eastAsia" w:ascii="Times New Roman" w:hAnsi="Times New Roman" w:eastAsia="仿宋GB2312"/>
          <w:b/>
          <w:bCs/>
          <w:sz w:val="32"/>
          <w:szCs w:val="32"/>
          <w:lang w:eastAsia="zh-CN"/>
        </w:rPr>
        <w:t>。</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《国务院对确需保留的行政审批项目设定行政许可的决定》附件第37项公章刻制业特种行业许可证核发；实施机关：县级以上地方人民政府公安机关。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《国务院关于第三批取消和调整行政审批项目的决定》附件第41项取消非机构印章刻制单位审批。实施机关：县级以上地方人民政府公安机关。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《国务院关于取消和调整一批行政审批项目等事项的决定》附件4第6项公章刻制业特种行业许可证核发改为后置审批。</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6.监管依据</w:t>
      </w:r>
    </w:p>
    <w:p>
      <w:pPr>
        <w:spacing w:line="560" w:lineRule="exact"/>
        <w:ind w:firstLine="643" w:firstLineChars="200"/>
        <w:outlineLvl w:val="2"/>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《印铸刻字业暂行管理规则》第三条凡经营印铸刻字业者，须先向该管市（县）人民政府公安局或分局申请登记</w:t>
      </w:r>
      <w:r>
        <w:rPr>
          <w:rFonts w:hint="eastAsia" w:ascii="Times New Roman" w:hAnsi="Times New Roman" w:eastAsia="仿宋GB2312"/>
          <w:b/>
          <w:bCs/>
          <w:sz w:val="32"/>
          <w:szCs w:val="32"/>
          <w:lang w:eastAsia="zh-CN"/>
        </w:rPr>
        <w:t>。</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《国务院对确需保留的行政审批项目设定行政许可的决定》附件第37项公章刻制业特种行业许可证核发；实施机关：县级以上地方人民政府公安机关。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《国务院关于第三批取消和调整行政审批项目的决定》附件第41项取消非机构印章刻制单位审批。实施机关：县级以上地方人民政府公安机关。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《国务院关于取消和调整一批行政审批项目等事项的决定》附件4第6项公章刻制业特种行业许可证核发改为后置审批。</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7.实施机关：</w:t>
      </w:r>
      <w:r>
        <w:rPr>
          <w:rFonts w:hint="eastAsia" w:ascii="Times New Roman" w:hAnsi="Times New Roman" w:eastAsia="方正仿宋_GBK"/>
          <w:sz w:val="32"/>
          <w:szCs w:val="32"/>
        </w:rPr>
        <w:t>市公安局五华分局</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8.审批层级：</w:t>
      </w:r>
      <w:r>
        <w:rPr>
          <w:rFonts w:ascii="Times New Roman" w:hAnsi="Times New Roman" w:eastAsia="方正仿宋_GBK"/>
          <w:sz w:val="32"/>
          <w:szCs w:val="32"/>
        </w:rPr>
        <w:t>县级</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9.行使层级：</w:t>
      </w:r>
      <w:r>
        <w:rPr>
          <w:rFonts w:ascii="Times New Roman" w:hAnsi="Times New Roman" w:eastAsia="方正仿宋_GBK"/>
          <w:sz w:val="32"/>
          <w:szCs w:val="32"/>
        </w:rPr>
        <w:t>县级</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10是否由审批机关受理：</w:t>
      </w:r>
      <w:r>
        <w:rPr>
          <w:rFonts w:ascii="Times New Roman" w:hAnsi="Times New Roman" w:eastAsia="方正仿宋_GBK"/>
          <w:sz w:val="32"/>
          <w:szCs w:val="32"/>
        </w:rPr>
        <w:t>是</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11.受理层级：</w:t>
      </w:r>
      <w:r>
        <w:rPr>
          <w:rFonts w:ascii="Times New Roman" w:hAnsi="Times New Roman" w:eastAsia="方正仿宋_GBK"/>
          <w:sz w:val="32"/>
          <w:szCs w:val="32"/>
        </w:rPr>
        <w:t>县级</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12.是否存在初审环节：</w:t>
      </w:r>
      <w:r>
        <w:rPr>
          <w:rFonts w:ascii="Times New Roman" w:hAnsi="Times New Roman" w:eastAsia="方正仿宋_GBK"/>
          <w:sz w:val="32"/>
          <w:szCs w:val="32"/>
        </w:rPr>
        <w:t>否</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13.初审层级：</w:t>
      </w:r>
      <w:r>
        <w:rPr>
          <w:rFonts w:ascii="Times New Roman" w:hAnsi="Times New Roman" w:eastAsia="方正仿宋_GBK"/>
          <w:sz w:val="32"/>
          <w:szCs w:val="32"/>
        </w:rPr>
        <w:t>无</w:t>
      </w:r>
    </w:p>
    <w:p>
      <w:pPr>
        <w:rPr>
          <w:rFonts w:ascii="Times New Roman" w:hAnsi="Times New Roman" w:eastAsia="仿宋GB2312"/>
          <w:b/>
          <w:bCs/>
          <w:sz w:val="32"/>
          <w:szCs w:val="32"/>
        </w:rPr>
      </w:pPr>
      <w:r>
        <w:rPr>
          <w:rFonts w:ascii="Times New Roman" w:hAnsi="Times New Roman" w:eastAsia="仿宋GB2312"/>
          <w:b/>
          <w:bCs/>
          <w:sz w:val="32"/>
          <w:szCs w:val="32"/>
        </w:rPr>
        <w:t>14.对应政务服务事项国家级基本目录名称：</w:t>
      </w:r>
      <w:r>
        <w:rPr>
          <w:rFonts w:hint="eastAsia" w:ascii="Times New Roman" w:hAnsi="Times New Roman" w:eastAsia="仿宋GB2312"/>
          <w:b/>
          <w:bCs/>
          <w:sz w:val="32"/>
          <w:szCs w:val="32"/>
        </w:rPr>
        <w:t>公章刻制业特种行业许可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二、行政许可事项类型</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条件</w:t>
      </w:r>
      <w:r>
        <w:rPr>
          <w:rFonts w:ascii="Times New Roman" w:hAnsi="Times New Roman" w:eastAsia="方正仿宋_GBK"/>
          <w:sz w:val="32"/>
          <w:szCs w:val="32"/>
        </w:rPr>
        <w:t>型</w:t>
      </w:r>
    </w:p>
    <w:p>
      <w:pPr>
        <w:keepNext w:val="0"/>
        <w:keepLines w:val="0"/>
        <w:pageBreakBefore w:val="0"/>
        <w:numPr>
          <w:ilvl w:val="0"/>
          <w:numId w:val="2"/>
        </w:numPr>
        <w:kinsoku/>
        <w:wordWrap/>
        <w:overflowPunct/>
        <w:topLinePunct w:val="0"/>
        <w:autoSpaceDE/>
        <w:autoSpaceDN/>
        <w:bidi w:val="0"/>
        <w:adjustRightInd/>
        <w:snapToGrid/>
        <w:spacing w:line="592"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行政许可条件</w:t>
      </w:r>
    </w:p>
    <w:p>
      <w:pPr>
        <w:keepNext w:val="0"/>
        <w:keepLines w:val="0"/>
        <w:pageBreakBefore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从事旅馆业、公章刻制业经营的，应当依法取得公安机关颁发的特种行业许可证。</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四、行政许可服务对象类型与改革举措</w:t>
      </w:r>
    </w:p>
    <w:p>
      <w:pPr>
        <w:spacing w:line="560" w:lineRule="exact"/>
        <w:ind w:firstLine="643" w:firstLineChars="200"/>
        <w:jc w:val="left"/>
        <w:rPr>
          <w:rFonts w:ascii="Times New Roman" w:hAnsi="Times New Roman" w:eastAsia="仿宋GB2312"/>
          <w:sz w:val="32"/>
          <w:szCs w:val="32"/>
        </w:rPr>
      </w:pPr>
      <w:r>
        <w:rPr>
          <w:rFonts w:ascii="Times New Roman" w:hAnsi="Times New Roman" w:eastAsia="仿宋GB2312"/>
          <w:b/>
          <w:bCs/>
          <w:sz w:val="32"/>
          <w:szCs w:val="32"/>
        </w:rPr>
        <w:t>1.服务对象类型：</w:t>
      </w:r>
      <w:r>
        <w:rPr>
          <w:rFonts w:hint="eastAsia" w:ascii="Times New Roman" w:hAnsi="Times New Roman" w:eastAsia="仿宋GB2312"/>
          <w:b/>
          <w:bCs/>
          <w:sz w:val="32"/>
          <w:szCs w:val="32"/>
          <w:lang w:eastAsia="zh-CN"/>
        </w:rPr>
        <w:t>自然人、</w:t>
      </w:r>
      <w:r>
        <w:rPr>
          <w:rFonts w:ascii="Times New Roman" w:hAnsi="Times New Roman" w:eastAsia="方正仿宋_GBK"/>
          <w:sz w:val="32"/>
          <w:szCs w:val="32"/>
        </w:rPr>
        <w:t>企业法人、事业单位法人</w:t>
      </w:r>
      <w:r>
        <w:rPr>
          <w:rFonts w:hint="eastAsia" w:ascii="Times New Roman" w:hAnsi="Times New Roman" w:eastAsia="方正仿宋_GBK"/>
          <w:sz w:val="32"/>
          <w:szCs w:val="32"/>
        </w:rPr>
        <w:t>、</w:t>
      </w:r>
    </w:p>
    <w:p>
      <w:pPr>
        <w:spacing w:line="560" w:lineRule="exact"/>
        <w:ind w:firstLine="643" w:firstLineChars="200"/>
        <w:rPr>
          <w:rFonts w:hint="eastAsia" w:ascii="Times New Roman" w:hAnsi="Times New Roman" w:eastAsia="仿宋GB2312"/>
          <w:sz w:val="32"/>
          <w:szCs w:val="32"/>
          <w:lang w:eastAsia="zh-CN"/>
        </w:rPr>
      </w:pPr>
      <w:r>
        <w:rPr>
          <w:rFonts w:ascii="Times New Roman" w:hAnsi="Times New Roman" w:eastAsia="仿宋GB2312"/>
          <w:b/>
          <w:bCs/>
          <w:sz w:val="32"/>
          <w:szCs w:val="32"/>
        </w:rPr>
        <w:t>2.是否为涉企许可事项：</w:t>
      </w:r>
      <w:r>
        <w:rPr>
          <w:rFonts w:hint="eastAsia" w:ascii="Times New Roman" w:hAnsi="Times New Roman" w:eastAsia="仿宋GB2312"/>
          <w:b/>
          <w:bCs/>
          <w:sz w:val="32"/>
          <w:szCs w:val="32"/>
          <w:lang w:eastAsia="zh-CN"/>
        </w:rPr>
        <w:t>是</w:t>
      </w:r>
    </w:p>
    <w:p>
      <w:pPr>
        <w:ind w:firstLine="643" w:firstLineChars="200"/>
        <w:rPr>
          <w:rFonts w:ascii="Times New Roman" w:hAnsi="Times New Roman" w:eastAsia="仿宋GB2312" w:cs="Times New Roman"/>
          <w:b/>
          <w:bCs/>
          <w:sz w:val="32"/>
          <w:szCs w:val="32"/>
        </w:rPr>
      </w:pPr>
      <w:r>
        <w:rPr>
          <w:rFonts w:ascii="Times New Roman" w:hAnsi="Times New Roman" w:eastAsia="仿宋GB2312"/>
          <w:b/>
          <w:bCs/>
          <w:sz w:val="32"/>
          <w:szCs w:val="32"/>
        </w:rPr>
        <w:t>3.涉企经营许可事项名称：</w:t>
      </w:r>
      <w:r>
        <w:rPr>
          <w:rFonts w:hint="eastAsia" w:ascii="Times New Roman" w:hAnsi="Times New Roman" w:eastAsia="仿宋GB2312" w:cs="Times New Roman"/>
          <w:b/>
          <w:bCs/>
          <w:sz w:val="32"/>
          <w:szCs w:val="32"/>
        </w:rPr>
        <w:t>公章刻制业特种行业许可</w:t>
      </w:r>
    </w:p>
    <w:p>
      <w:pPr>
        <w:ind w:firstLine="643" w:firstLineChars="200"/>
        <w:rPr>
          <w:rFonts w:hint="eastAsia" w:ascii="Times New Roman" w:hAnsi="Times New Roman" w:eastAsia="仿宋GB2312"/>
          <w:b/>
          <w:bCs/>
          <w:sz w:val="32"/>
          <w:szCs w:val="32"/>
          <w:lang w:eastAsia="zh-CN"/>
        </w:rPr>
      </w:pPr>
      <w:r>
        <w:rPr>
          <w:rFonts w:ascii="Times New Roman" w:hAnsi="Times New Roman" w:eastAsia="仿宋GB2312"/>
          <w:b/>
          <w:bCs/>
          <w:sz w:val="32"/>
          <w:szCs w:val="32"/>
        </w:rPr>
        <w:t>4.许可证件名称：</w:t>
      </w:r>
      <w:r>
        <w:rPr>
          <w:rFonts w:hint="eastAsia" w:ascii="Times New Roman" w:hAnsi="Times New Roman" w:eastAsia="仿宋GB2312"/>
          <w:b/>
          <w:bCs/>
          <w:sz w:val="32"/>
          <w:szCs w:val="32"/>
          <w:lang w:eastAsia="zh-CN"/>
        </w:rPr>
        <w:t>云南特种行业许可证</w:t>
      </w:r>
    </w:p>
    <w:p>
      <w:pPr>
        <w:pStyle w:val="2"/>
        <w:rPr>
          <w:rFonts w:hint="eastAsia" w:ascii="Times New Roman" w:hAnsi="Times New Roman" w:eastAsia="仿宋GB2312"/>
          <w:b/>
          <w:bCs/>
          <w:sz w:val="32"/>
          <w:szCs w:val="32"/>
          <w:lang w:eastAsia="zh-CN"/>
        </w:rPr>
      </w:pPr>
      <w:r>
        <w:rPr>
          <w:rFonts w:ascii="Times New Roman" w:hAnsi="Times New Roman" w:eastAsia="仿宋GB2312"/>
          <w:b/>
          <w:bCs/>
          <w:sz w:val="32"/>
          <w:szCs w:val="32"/>
        </w:rPr>
        <w:t>5.具体改革举措：</w:t>
      </w:r>
      <w:r>
        <w:rPr>
          <w:rFonts w:hint="eastAsia" w:ascii="Times New Roman" w:hAnsi="Times New Roman" w:eastAsia="仿宋GB2312"/>
          <w:b/>
          <w:bCs/>
          <w:sz w:val="32"/>
          <w:szCs w:val="32"/>
          <w:lang w:eastAsia="zh-CN"/>
        </w:rPr>
        <w:t>无</w:t>
      </w:r>
    </w:p>
    <w:p>
      <w:pPr>
        <w:spacing w:line="560" w:lineRule="exact"/>
        <w:ind w:firstLine="643" w:firstLineChars="200"/>
        <w:rPr>
          <w:rFonts w:hint="eastAsia" w:ascii="Times New Roman" w:hAnsi="Times New Roman" w:eastAsia="仿宋GB2312"/>
          <w:b/>
          <w:bCs/>
          <w:sz w:val="32"/>
          <w:szCs w:val="32"/>
          <w:lang w:eastAsia="zh-CN"/>
        </w:rPr>
      </w:pPr>
      <w:r>
        <w:rPr>
          <w:rFonts w:ascii="Times New Roman" w:hAnsi="Times New Roman" w:eastAsia="仿宋GB2312"/>
          <w:b/>
          <w:bCs/>
          <w:sz w:val="32"/>
          <w:szCs w:val="32"/>
        </w:rPr>
        <w:t>6.加强事中事后监管措施：</w:t>
      </w:r>
      <w:r>
        <w:rPr>
          <w:rFonts w:hint="eastAsia" w:ascii="Times New Roman" w:hAnsi="Times New Roman" w:eastAsia="仿宋GB2312"/>
          <w:b/>
          <w:bCs/>
          <w:sz w:val="32"/>
          <w:szCs w:val="32"/>
          <w:lang w:eastAsia="zh-CN"/>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五、申请材料</w:t>
      </w:r>
    </w:p>
    <w:p>
      <w:pPr>
        <w:keepNext w:val="0"/>
        <w:keepLines w:val="0"/>
        <w:pageBreakBefore w:val="0"/>
        <w:kinsoku/>
        <w:wordWrap/>
        <w:overflowPunct/>
        <w:topLinePunct w:val="0"/>
        <w:autoSpaceDE/>
        <w:autoSpaceDN/>
        <w:bidi w:val="0"/>
        <w:adjustRightInd/>
        <w:snapToGrid/>
        <w:spacing w:line="592" w:lineRule="exact"/>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申领特种行业许可证，应当向经营所在地县级公安机关提供下列材料：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（一）营业执照；</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（二）经营场所的合法证明材料；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（三）经营场所地理位置和内部结构平面示意图；</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（四）法定代表人或者负责人和从业人员的身份证明；</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（五）落实安全技术防范措施的材料；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（六）依法需要提交的其他材料。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特种行业许可证核发实行告知承诺管理。申请人提交规定材料，作出符合条件的书面承诺，公安机关当场核发特种行业许可证。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color w:val="FF0000"/>
          <w:sz w:val="32"/>
          <w:szCs w:val="32"/>
          <w:shd w:val="clear" w:color="auto" w:fill="FFFFFF"/>
        </w:rPr>
        <w:t>申请人选择不采用告知承诺方式办理，材料齐全、符合条件的，公安机关应当在5个工作日内核发特种行业许可证。</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2.规定申请材料的依据：</w:t>
      </w:r>
    </w:p>
    <w:p>
      <w:pPr>
        <w:spacing w:line="560" w:lineRule="exact"/>
        <w:ind w:firstLine="643" w:firstLineChars="200"/>
        <w:outlineLvl w:val="2"/>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《印铸刻字业暂行管理规则》第三条凡经营印铸刻字业者，须先向该管市（县）人民政府公安局或分局申请登记</w:t>
      </w:r>
      <w:r>
        <w:rPr>
          <w:rFonts w:hint="eastAsia" w:ascii="Times New Roman" w:hAnsi="Times New Roman" w:eastAsia="仿宋GB2312"/>
          <w:b/>
          <w:bCs/>
          <w:sz w:val="32"/>
          <w:szCs w:val="32"/>
          <w:lang w:eastAsia="zh-CN"/>
        </w:rPr>
        <w:t>。</w:t>
      </w:r>
    </w:p>
    <w:p>
      <w:pPr>
        <w:pStyle w:val="2"/>
        <w:rPr>
          <w:rFonts w:hint="eastAsia"/>
          <w:lang w:eastAsia="zh-CN"/>
        </w:rPr>
      </w:pP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六、中介服务</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1.有无法定中介服务事项：</w:t>
      </w:r>
      <w:r>
        <w:rPr>
          <w:rFonts w:ascii="Times New Roman" w:hAnsi="Times New Roman" w:eastAsia="仿宋GB2312"/>
          <w:sz w:val="32"/>
          <w:szCs w:val="32"/>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2.中介服务事项名称：</w:t>
      </w:r>
      <w:r>
        <w:rPr>
          <w:rFonts w:ascii="Times New Roman" w:hAnsi="Times New Roman" w:eastAsia="仿宋GB2312"/>
          <w:sz w:val="32"/>
          <w:szCs w:val="32"/>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3.设定中介服务事项的依据：</w:t>
      </w:r>
      <w:r>
        <w:rPr>
          <w:rFonts w:ascii="Times New Roman" w:hAnsi="Times New Roman" w:eastAsia="仿宋GB2312"/>
          <w:sz w:val="32"/>
          <w:szCs w:val="32"/>
        </w:rPr>
        <w:t>无</w:t>
      </w:r>
    </w:p>
    <w:p>
      <w:pPr>
        <w:spacing w:line="56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4.提供中介服务的机构：</w:t>
      </w:r>
      <w:r>
        <w:rPr>
          <w:rFonts w:ascii="Times New Roman" w:hAnsi="Times New Roman" w:eastAsia="仿宋GB2312"/>
          <w:sz w:val="32"/>
          <w:szCs w:val="32"/>
        </w:rPr>
        <w:t>无</w:t>
      </w:r>
    </w:p>
    <w:p>
      <w:pPr>
        <w:spacing w:line="560" w:lineRule="exact"/>
        <w:ind w:firstLine="643" w:firstLineChars="200"/>
        <w:rPr>
          <w:rFonts w:ascii="Times New Roman" w:hAnsi="Times New Roman" w:eastAsia="黑体"/>
          <w:sz w:val="32"/>
          <w:szCs w:val="32"/>
        </w:rPr>
      </w:pPr>
      <w:r>
        <w:rPr>
          <w:rFonts w:ascii="Times New Roman" w:hAnsi="Times New Roman" w:eastAsia="仿宋GB2312"/>
          <w:b/>
          <w:bCs/>
          <w:sz w:val="32"/>
          <w:szCs w:val="32"/>
        </w:rPr>
        <w:t>5.中介服务事项的收费性质：</w:t>
      </w:r>
      <w:r>
        <w:rPr>
          <w:rFonts w:ascii="Times New Roman" w:hAnsi="Times New Roman" w:eastAsia="仿宋GB2312"/>
          <w:sz w:val="32"/>
          <w:szCs w:val="32"/>
        </w:rPr>
        <w:t>无</w:t>
      </w:r>
    </w:p>
    <w:p>
      <w:pPr>
        <w:spacing w:line="560" w:lineRule="exact"/>
        <w:ind w:firstLine="640" w:firstLineChars="200"/>
        <w:outlineLvl w:val="1"/>
        <w:rPr>
          <w:rFonts w:ascii="Times New Roman" w:hAnsi="Times New Roman" w:eastAsia="黑体"/>
          <w:sz w:val="32"/>
          <w:szCs w:val="32"/>
          <w:highlight w:val="yellow"/>
        </w:rPr>
      </w:pPr>
      <w:r>
        <w:rPr>
          <w:rFonts w:ascii="Times New Roman" w:hAnsi="Times New Roman" w:eastAsia="黑体"/>
          <w:sz w:val="32"/>
          <w:szCs w:val="32"/>
          <w:highlight w:val="yellow"/>
        </w:rPr>
        <w:t>七、审批程序</w:t>
      </w:r>
    </w:p>
    <w:p>
      <w:pPr>
        <w:pStyle w:val="2"/>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1.审核程序：</w:t>
      </w:r>
      <w:r>
        <w:rPr>
          <w:rFonts w:hint="eastAsia" w:ascii="Times New Roman" w:hAnsi="Times New Roman" w:eastAsia="仿宋GB2312" w:cs="Times New Roman"/>
          <w:b/>
          <w:bCs/>
          <w:sz w:val="32"/>
          <w:szCs w:val="32"/>
          <w:lang w:val="en-US" w:eastAsia="zh-CN"/>
        </w:rPr>
        <w:t>1.商户通过网址：http;//gonganting.yn.gov.cn/thxk/登录云南公安行业场所许可备案平台。2.经过云南政务网通过实名认证。3.通过云南电子印章微信小程序申领电子印章。4.在云南公安行业场所许可备案平台上提交申请材料。5.经审批符合开始旅馆要求的予以审批，核发电子特行证。</w:t>
      </w:r>
      <w:bookmarkStart w:id="0" w:name="_GoBack"/>
      <w:bookmarkEnd w:id="0"/>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2</w:t>
      </w:r>
      <w:r>
        <w:rPr>
          <w:rFonts w:ascii="Times New Roman" w:hAnsi="Times New Roman" w:eastAsia="仿宋GB2312"/>
          <w:b/>
          <w:bCs/>
          <w:sz w:val="32"/>
          <w:szCs w:val="32"/>
        </w:rPr>
        <w:t>.规定行政许可程序的依据</w:t>
      </w:r>
      <w:r>
        <w:rPr>
          <w:rFonts w:hint="eastAsia" w:ascii="Times New Roman" w:hAnsi="Times New Roman" w:eastAsia="仿宋GB2312"/>
          <w:b/>
          <w:bCs/>
          <w:sz w:val="32"/>
          <w:szCs w:val="32"/>
        </w:rPr>
        <w:t>：</w:t>
      </w:r>
    </w:p>
    <w:p>
      <w:pPr>
        <w:spacing w:line="560" w:lineRule="exact"/>
        <w:ind w:firstLine="643" w:firstLineChars="200"/>
        <w:outlineLvl w:val="2"/>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《印铸刻字业暂行管理规则》第三条凡经营印铸刻字业者，须先向该管市（县）人民政府公安局或分局申请登记</w:t>
      </w:r>
      <w:r>
        <w:rPr>
          <w:rFonts w:hint="eastAsia" w:ascii="Times New Roman" w:hAnsi="Times New Roman" w:eastAsia="仿宋GB2312"/>
          <w:b/>
          <w:bCs/>
          <w:sz w:val="32"/>
          <w:szCs w:val="32"/>
          <w:lang w:eastAsia="zh-CN"/>
        </w:rPr>
        <w:t>。</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关于深化娱乐服务场所和特种行业治安管理改革进一步依法加强事中事后监管的工作意见》公章刻制业、旅馆业、典当业等特种行业许可已由工商登记前置审批事项调整为后置审批，审批权限下放至县（区）级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《国务院对确需保留的行政审批项目设定行政许可的决定》附件第37项公章刻制业特种行业许可证核发；实施机关：县级以上地方人民政府公安机关。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《国务院关于第三批取消和调整行政审批项目的决定》附件第41项取消非机构印章刻制单位审批。实施机关：县级以上地方人民政府公安机关。</w:t>
      </w:r>
    </w:p>
    <w:p>
      <w:pPr>
        <w:spacing w:line="560" w:lineRule="exact"/>
        <w:ind w:firstLine="643" w:firstLineChars="200"/>
        <w:outlineLvl w:val="2"/>
        <w:rPr>
          <w:rFonts w:hint="eastAsia" w:ascii="Times New Roman" w:hAnsi="Times New Roman" w:eastAsia="仿宋GB2312"/>
          <w:b/>
          <w:bCs/>
          <w:sz w:val="32"/>
          <w:szCs w:val="32"/>
        </w:rPr>
      </w:pPr>
      <w:r>
        <w:rPr>
          <w:rFonts w:hint="eastAsia" w:ascii="Times New Roman" w:hAnsi="Times New Roman" w:eastAsia="仿宋GB2312"/>
          <w:b/>
          <w:bCs/>
          <w:sz w:val="32"/>
          <w:szCs w:val="32"/>
        </w:rPr>
        <w:t>《国务院关于取消和调整一批行政审批项目等事项的决定》附件4第6项公章刻制业特种行业许可证核发改为后置审批。</w:t>
      </w:r>
    </w:p>
    <w:p>
      <w:pPr>
        <w:numPr>
          <w:ilvl w:val="0"/>
          <w:numId w:val="3"/>
        </w:numPr>
        <w:spacing w:line="560" w:lineRule="exact"/>
        <w:ind w:firstLine="643" w:firstLineChars="200"/>
        <w:rPr>
          <w:rFonts w:hint="eastAsia" w:ascii="Times New Roman" w:hAnsi="Times New Roman" w:eastAsia="仿宋GB2312"/>
          <w:sz w:val="32"/>
          <w:szCs w:val="32"/>
          <w:lang w:eastAsia="zh-CN"/>
        </w:rPr>
      </w:pPr>
      <w:r>
        <w:rPr>
          <w:rFonts w:ascii="Times New Roman" w:hAnsi="Times New Roman" w:eastAsia="仿宋GB2312"/>
          <w:b/>
          <w:bCs/>
          <w:sz w:val="32"/>
          <w:szCs w:val="32"/>
        </w:rPr>
        <w:t>是否需要现场勘验：</w:t>
      </w:r>
      <w:r>
        <w:rPr>
          <w:rFonts w:hint="eastAsia" w:ascii="Times New Roman" w:hAnsi="Times New Roman" w:eastAsia="仿宋GB2312"/>
          <w:sz w:val="32"/>
          <w:szCs w:val="32"/>
          <w:lang w:eastAsia="zh-CN"/>
        </w:rPr>
        <w:t>是</w:t>
      </w:r>
    </w:p>
    <w:p>
      <w:pPr>
        <w:numPr>
          <w:ilvl w:val="0"/>
          <w:numId w:val="0"/>
        </w:num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4</w:t>
      </w:r>
      <w:r>
        <w:rPr>
          <w:rFonts w:ascii="Times New Roman" w:hAnsi="Times New Roman" w:eastAsia="仿宋GB2312"/>
          <w:b/>
          <w:bCs/>
          <w:sz w:val="32"/>
          <w:szCs w:val="32"/>
        </w:rPr>
        <w:t>.是否需要组织听证：</w:t>
      </w:r>
      <w:r>
        <w:rPr>
          <w:rFonts w:ascii="Times New Roman" w:hAnsi="Times New Roman" w:eastAsia="仿宋GB2312"/>
          <w:sz w:val="32"/>
          <w:szCs w:val="32"/>
        </w:rPr>
        <w:t>否</w:t>
      </w:r>
    </w:p>
    <w:p>
      <w:p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5</w:t>
      </w:r>
      <w:r>
        <w:rPr>
          <w:rFonts w:ascii="Times New Roman" w:hAnsi="Times New Roman" w:eastAsia="仿宋GB2312"/>
          <w:b/>
          <w:bCs/>
          <w:sz w:val="32"/>
          <w:szCs w:val="32"/>
        </w:rPr>
        <w:t>.是否需要招标、拍卖、挂牌交易：</w:t>
      </w:r>
      <w:r>
        <w:rPr>
          <w:rFonts w:ascii="Times New Roman" w:hAnsi="Times New Roman" w:eastAsia="仿宋GB2312"/>
          <w:sz w:val="32"/>
          <w:szCs w:val="32"/>
        </w:rPr>
        <w:t>否</w:t>
      </w:r>
    </w:p>
    <w:p>
      <w:p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6</w:t>
      </w:r>
      <w:r>
        <w:rPr>
          <w:rFonts w:ascii="Times New Roman" w:hAnsi="Times New Roman" w:eastAsia="仿宋GB2312"/>
          <w:b/>
          <w:bCs/>
          <w:sz w:val="32"/>
          <w:szCs w:val="32"/>
        </w:rPr>
        <w:t>.是否需要检验、检测、检疫：</w:t>
      </w:r>
      <w:r>
        <w:rPr>
          <w:rFonts w:ascii="Times New Roman" w:hAnsi="Times New Roman" w:eastAsia="仿宋GB2312"/>
          <w:sz w:val="32"/>
          <w:szCs w:val="32"/>
        </w:rPr>
        <w:t>否</w:t>
      </w:r>
    </w:p>
    <w:p>
      <w:pPr>
        <w:spacing w:line="560" w:lineRule="exac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7</w:t>
      </w:r>
      <w:r>
        <w:rPr>
          <w:rFonts w:ascii="Times New Roman" w:hAnsi="Times New Roman" w:eastAsia="仿宋GB2312"/>
          <w:b/>
          <w:bCs/>
          <w:sz w:val="32"/>
          <w:szCs w:val="32"/>
        </w:rPr>
        <w:t>.是否需要鉴定：</w:t>
      </w:r>
      <w:r>
        <w:rPr>
          <w:rFonts w:ascii="Times New Roman" w:hAnsi="Times New Roman" w:eastAsia="仿宋GB2312"/>
          <w:sz w:val="32"/>
          <w:szCs w:val="32"/>
        </w:rPr>
        <w:t>否</w:t>
      </w:r>
    </w:p>
    <w:p>
      <w:pPr>
        <w:spacing w:line="560" w:lineRule="exact"/>
        <w:ind w:firstLine="643" w:firstLineChars="200"/>
        <w:rPr>
          <w:rFonts w:hint="eastAsia" w:ascii="Times New Roman" w:hAnsi="Times New Roman" w:eastAsia="仿宋GB2312"/>
          <w:sz w:val="32"/>
          <w:szCs w:val="32"/>
          <w:lang w:eastAsia="zh-CN"/>
        </w:rPr>
      </w:pPr>
      <w:r>
        <w:rPr>
          <w:rFonts w:hint="eastAsia" w:ascii="Times New Roman" w:hAnsi="Times New Roman" w:eastAsia="仿宋GB2312"/>
          <w:b/>
          <w:bCs/>
          <w:sz w:val="32"/>
          <w:szCs w:val="32"/>
        </w:rPr>
        <w:t>8</w:t>
      </w:r>
      <w:r>
        <w:rPr>
          <w:rFonts w:ascii="Times New Roman" w:hAnsi="Times New Roman" w:eastAsia="仿宋GB2312"/>
          <w:b/>
          <w:bCs/>
          <w:sz w:val="32"/>
          <w:szCs w:val="32"/>
        </w:rPr>
        <w:t>.是否需要专家评审：</w:t>
      </w:r>
      <w:r>
        <w:rPr>
          <w:rFonts w:hint="eastAsia" w:ascii="Times New Roman" w:hAnsi="Times New Roman" w:eastAsia="仿宋GB2312"/>
          <w:sz w:val="32"/>
          <w:szCs w:val="32"/>
          <w:lang w:eastAsia="zh-CN"/>
        </w:rPr>
        <w:t>否</w:t>
      </w:r>
    </w:p>
    <w:p>
      <w:pPr>
        <w:spacing w:line="560" w:lineRule="exact"/>
        <w:ind w:firstLine="643" w:firstLineChars="200"/>
        <w:rPr>
          <w:rFonts w:hint="eastAsia" w:ascii="Times New Roman" w:hAnsi="Times New Roman" w:eastAsia="仿宋GB2312"/>
          <w:b/>
          <w:bCs/>
          <w:sz w:val="32"/>
          <w:szCs w:val="32"/>
          <w:lang w:eastAsia="zh-CN"/>
        </w:rPr>
      </w:pPr>
      <w:r>
        <w:rPr>
          <w:rFonts w:hint="eastAsia" w:ascii="Times New Roman" w:hAnsi="Times New Roman" w:eastAsia="仿宋GB2312"/>
          <w:b/>
          <w:bCs/>
          <w:sz w:val="32"/>
          <w:szCs w:val="32"/>
        </w:rPr>
        <w:t>9</w:t>
      </w:r>
      <w:r>
        <w:rPr>
          <w:rFonts w:ascii="Times New Roman" w:hAnsi="Times New Roman" w:eastAsia="仿宋GB2312"/>
          <w:b/>
          <w:bCs/>
          <w:sz w:val="32"/>
          <w:szCs w:val="32"/>
        </w:rPr>
        <w:t>.是否需要向社会公示：</w:t>
      </w:r>
      <w:r>
        <w:rPr>
          <w:rFonts w:hint="eastAsia" w:ascii="Times New Roman" w:hAnsi="Times New Roman" w:eastAsia="仿宋GB2312"/>
          <w:sz w:val="32"/>
          <w:szCs w:val="32"/>
          <w:lang w:eastAsia="zh-CN"/>
        </w:rPr>
        <w:t>是</w:t>
      </w:r>
    </w:p>
    <w:p>
      <w:pPr>
        <w:spacing w:line="560" w:lineRule="exact"/>
        <w:ind w:firstLine="643" w:firstLineChars="200"/>
        <w:rPr>
          <w:rFonts w:hint="eastAsia" w:ascii="Times New Roman" w:hAnsi="Times New Roman" w:eastAsia="仿宋GB2312"/>
          <w:b/>
          <w:bCs/>
          <w:sz w:val="32"/>
          <w:szCs w:val="32"/>
          <w:lang w:eastAsia="zh-CN"/>
        </w:rPr>
      </w:pPr>
      <w:r>
        <w:rPr>
          <w:rFonts w:ascii="Times New Roman" w:hAnsi="Times New Roman" w:eastAsia="仿宋GB2312"/>
          <w:b/>
          <w:bCs/>
          <w:sz w:val="32"/>
          <w:szCs w:val="32"/>
        </w:rPr>
        <w:t>1</w:t>
      </w:r>
      <w:r>
        <w:rPr>
          <w:rFonts w:hint="eastAsia" w:ascii="Times New Roman" w:hAnsi="Times New Roman" w:eastAsia="仿宋GB2312"/>
          <w:b/>
          <w:bCs/>
          <w:sz w:val="32"/>
          <w:szCs w:val="32"/>
        </w:rPr>
        <w:t>0</w:t>
      </w:r>
      <w:r>
        <w:rPr>
          <w:rFonts w:ascii="Times New Roman" w:hAnsi="Times New Roman" w:eastAsia="仿宋GB2312"/>
          <w:b/>
          <w:bCs/>
          <w:sz w:val="32"/>
          <w:szCs w:val="32"/>
        </w:rPr>
        <w:t>.是否实行告知承诺办理：</w:t>
      </w:r>
      <w:r>
        <w:rPr>
          <w:rFonts w:hint="eastAsia" w:ascii="Times New Roman" w:hAnsi="Times New Roman" w:eastAsia="仿宋GB2312"/>
          <w:sz w:val="32"/>
          <w:szCs w:val="32"/>
          <w:lang w:eastAsia="zh-CN"/>
        </w:rPr>
        <w:t>是</w:t>
      </w:r>
    </w:p>
    <w:p>
      <w:pPr>
        <w:spacing w:line="560" w:lineRule="exact"/>
        <w:ind w:firstLine="643" w:firstLineChars="200"/>
        <w:rPr>
          <w:rFonts w:ascii="Times New Roman" w:hAnsi="Times New Roman" w:eastAsia="方正仿宋_GBK"/>
          <w:sz w:val="32"/>
          <w:szCs w:val="32"/>
        </w:rPr>
      </w:pPr>
      <w:r>
        <w:rPr>
          <w:rFonts w:ascii="Times New Roman" w:hAnsi="Times New Roman" w:eastAsia="仿宋GB2312"/>
          <w:b/>
          <w:bCs/>
          <w:sz w:val="32"/>
          <w:szCs w:val="32"/>
        </w:rPr>
        <w:t>1</w:t>
      </w:r>
      <w:r>
        <w:rPr>
          <w:rFonts w:hint="eastAsia" w:ascii="Times New Roman" w:hAnsi="Times New Roman" w:eastAsia="仿宋GB2312"/>
          <w:b/>
          <w:bCs/>
          <w:sz w:val="32"/>
          <w:szCs w:val="32"/>
        </w:rPr>
        <w:t>1</w:t>
      </w:r>
      <w:r>
        <w:rPr>
          <w:rFonts w:ascii="Times New Roman" w:hAnsi="Times New Roman" w:eastAsia="仿宋GB2312"/>
          <w:b/>
          <w:bCs/>
          <w:sz w:val="32"/>
          <w:szCs w:val="32"/>
        </w:rPr>
        <w:t>.审批机关是否委托服务机构开展技术性服务：</w:t>
      </w:r>
      <w:r>
        <w:rPr>
          <w:rFonts w:ascii="Times New Roman" w:hAnsi="Times New Roman" w:eastAsia="仿宋GB2312"/>
          <w:sz w:val="32"/>
          <w:szCs w:val="32"/>
        </w:rPr>
        <w:t>否</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八、受理和审批时限</w:t>
      </w:r>
    </w:p>
    <w:p>
      <w:pPr>
        <w:spacing w:line="560" w:lineRule="exact"/>
        <w:ind w:firstLine="643" w:firstLineChars="200"/>
        <w:rPr>
          <w:rFonts w:hint="eastAsia" w:ascii="Times New Roman" w:hAnsi="Times New Roman" w:eastAsia="仿宋GB2312"/>
          <w:b/>
          <w:bCs/>
          <w:sz w:val="32"/>
          <w:szCs w:val="32"/>
          <w:lang w:val="en-US" w:eastAsia="zh-CN"/>
        </w:rPr>
      </w:pPr>
      <w:r>
        <w:rPr>
          <w:rFonts w:ascii="Times New Roman" w:hAnsi="Times New Roman" w:eastAsia="仿宋GB2312"/>
          <w:b/>
          <w:bCs/>
          <w:sz w:val="32"/>
          <w:szCs w:val="32"/>
        </w:rPr>
        <w:t>1.承诺</w:t>
      </w:r>
      <w:r>
        <w:rPr>
          <w:rFonts w:hint="eastAsia" w:ascii="Times New Roman" w:hAnsi="Times New Roman" w:eastAsia="仿宋GB2312"/>
          <w:b/>
          <w:bCs/>
          <w:sz w:val="32"/>
          <w:szCs w:val="32"/>
          <w:lang w:eastAsia="zh-CN"/>
        </w:rPr>
        <w:t>审批</w:t>
      </w:r>
      <w:r>
        <w:rPr>
          <w:rFonts w:ascii="Times New Roman" w:hAnsi="Times New Roman" w:eastAsia="仿宋GB2312"/>
          <w:b/>
          <w:bCs/>
          <w:sz w:val="32"/>
          <w:szCs w:val="32"/>
        </w:rPr>
        <w:t>时限：</w:t>
      </w:r>
      <w:r>
        <w:rPr>
          <w:rFonts w:hint="eastAsia" w:ascii="Times New Roman" w:hAnsi="Times New Roman" w:eastAsia="仿宋GB2312"/>
          <w:b/>
          <w:bCs/>
          <w:sz w:val="32"/>
          <w:szCs w:val="32"/>
          <w:lang w:val="en-US" w:eastAsia="zh-CN"/>
        </w:rPr>
        <w:t>1个工作日</w:t>
      </w:r>
    </w:p>
    <w:p>
      <w:pPr>
        <w:pStyle w:val="2"/>
        <w:rPr>
          <w:rFonts w:hint="eastAsia" w:ascii="Times New Roman" w:hAnsi="Times New Roman" w:eastAsia="仿宋GB2312"/>
          <w:b/>
          <w:bCs/>
          <w:sz w:val="32"/>
          <w:szCs w:val="32"/>
        </w:rPr>
      </w:pPr>
      <w:r>
        <w:rPr>
          <w:rFonts w:hint="eastAsia" w:ascii="Times New Roman" w:hAnsi="Times New Roman" w:eastAsia="仿宋GB2312"/>
          <w:b/>
          <w:bCs/>
          <w:sz w:val="32"/>
          <w:szCs w:val="32"/>
          <w:lang w:val="en-US" w:eastAsia="zh-CN"/>
        </w:rPr>
        <w:t>2.</w:t>
      </w:r>
      <w:r>
        <w:rPr>
          <w:rFonts w:ascii="Times New Roman" w:hAnsi="Times New Roman" w:eastAsia="仿宋GB2312"/>
          <w:b/>
          <w:bCs/>
          <w:sz w:val="32"/>
          <w:szCs w:val="32"/>
        </w:rPr>
        <w:t>法定审批时限：</w:t>
      </w:r>
      <w:r>
        <w:rPr>
          <w:rFonts w:hint="eastAsia" w:ascii="Times New Roman" w:hAnsi="Times New Roman" w:eastAsia="仿宋GB2312"/>
          <w:b/>
          <w:bCs/>
          <w:sz w:val="32"/>
          <w:szCs w:val="32"/>
        </w:rPr>
        <w:t>20个工作日</w:t>
      </w:r>
    </w:p>
    <w:p>
      <w:pPr>
        <w:pStyle w:val="2"/>
        <w:rPr>
          <w:rFonts w:ascii="Times New Roman" w:hAnsi="Times New Roman" w:eastAsia="仿宋GB2312"/>
          <w:b/>
          <w:bCs/>
          <w:sz w:val="32"/>
          <w:szCs w:val="32"/>
        </w:rPr>
      </w:pPr>
      <w:r>
        <w:rPr>
          <w:rFonts w:ascii="Times New Roman" w:hAnsi="Times New Roman" w:eastAsia="仿宋GB2312"/>
          <w:b/>
          <w:bCs/>
          <w:sz w:val="32"/>
          <w:szCs w:val="32"/>
        </w:rPr>
        <w:t>3.规定法定审批时限依据：</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九、收费</w:t>
      </w:r>
    </w:p>
    <w:p>
      <w:pPr>
        <w:spacing w:line="560" w:lineRule="exact"/>
        <w:ind w:firstLine="643" w:firstLineChars="200"/>
        <w:rPr>
          <w:rFonts w:ascii="Times New Roman" w:hAnsi="Times New Roman" w:eastAsia="仿宋GB2312"/>
          <w:sz w:val="32"/>
          <w:szCs w:val="32"/>
        </w:rPr>
      </w:pPr>
      <w:r>
        <w:rPr>
          <w:rFonts w:ascii="Times New Roman" w:hAnsi="Times New Roman" w:eastAsia="仿宋GB2312"/>
          <w:b/>
          <w:bCs/>
          <w:sz w:val="32"/>
          <w:szCs w:val="32"/>
        </w:rPr>
        <w:t>1.办理行政许可是否收费：</w:t>
      </w:r>
      <w:r>
        <w:rPr>
          <w:rFonts w:ascii="Times New Roman" w:hAnsi="Times New Roman" w:eastAsia="方正仿宋_GBK"/>
          <w:sz w:val="32"/>
          <w:szCs w:val="32"/>
        </w:rPr>
        <w:t>否</w:t>
      </w:r>
    </w:p>
    <w:p>
      <w:pPr>
        <w:spacing w:line="560" w:lineRule="exact"/>
        <w:ind w:firstLine="643" w:firstLineChars="200"/>
        <w:outlineLvl w:val="2"/>
        <w:rPr>
          <w:rFonts w:ascii="Times New Roman" w:hAnsi="Times New Roman" w:eastAsia="方正仿宋_GBK"/>
          <w:sz w:val="32"/>
          <w:szCs w:val="32"/>
        </w:rPr>
      </w:pPr>
      <w:r>
        <w:rPr>
          <w:rFonts w:ascii="Times New Roman" w:hAnsi="Times New Roman" w:eastAsia="仿宋GB2312"/>
          <w:b/>
          <w:bCs/>
          <w:sz w:val="32"/>
          <w:szCs w:val="32"/>
        </w:rPr>
        <w:t>2.收费项目的名称、收费项目的标准、设定收费项目的依据、规定收费标准的依据：</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十、行政许可证件</w:t>
      </w:r>
    </w:p>
    <w:p>
      <w:pPr>
        <w:pStyle w:val="2"/>
        <w:rPr>
          <w:rFonts w:hint="eastAsia" w:ascii="Times New Roman" w:hAnsi="Times New Roman" w:eastAsia="仿宋GB2312"/>
          <w:b/>
          <w:bCs/>
          <w:sz w:val="32"/>
          <w:szCs w:val="32"/>
          <w:lang w:eastAsia="zh-CN"/>
        </w:rPr>
      </w:pPr>
      <w:r>
        <w:rPr>
          <w:rFonts w:ascii="Times New Roman" w:hAnsi="Times New Roman" w:eastAsia="仿宋GB2312"/>
          <w:b/>
          <w:bCs/>
          <w:sz w:val="32"/>
          <w:szCs w:val="32"/>
        </w:rPr>
        <w:t>1.审批结果类型：</w:t>
      </w:r>
      <w:r>
        <w:rPr>
          <w:rFonts w:hint="eastAsia" w:ascii="Times New Roman" w:hAnsi="Times New Roman" w:eastAsia="仿宋GB2312"/>
          <w:b/>
          <w:bCs/>
          <w:sz w:val="32"/>
          <w:szCs w:val="32"/>
          <w:lang w:eastAsia="zh-CN"/>
        </w:rPr>
        <w:t>证照</w:t>
      </w:r>
    </w:p>
    <w:p>
      <w:pPr>
        <w:pStyle w:val="2"/>
        <w:rPr>
          <w:rFonts w:hint="eastAsia" w:ascii="Times New Roman" w:hAnsi="Times New Roman" w:eastAsia="仿宋GB2312"/>
          <w:b/>
          <w:bCs/>
          <w:sz w:val="32"/>
          <w:szCs w:val="32"/>
          <w:lang w:eastAsia="zh-CN"/>
        </w:rPr>
      </w:pPr>
      <w:r>
        <w:rPr>
          <w:rFonts w:ascii="Times New Roman" w:hAnsi="Times New Roman" w:eastAsia="仿宋GB2312"/>
          <w:b/>
          <w:bCs/>
          <w:sz w:val="32"/>
          <w:szCs w:val="32"/>
        </w:rPr>
        <w:t>2.审批结果名称：</w:t>
      </w:r>
      <w:r>
        <w:rPr>
          <w:rFonts w:hint="eastAsia" w:ascii="Times New Roman" w:hAnsi="Times New Roman" w:eastAsia="仿宋GB2312"/>
          <w:b/>
          <w:bCs/>
          <w:sz w:val="32"/>
          <w:szCs w:val="32"/>
          <w:lang w:eastAsia="zh-CN"/>
        </w:rPr>
        <w:t>云南特种行业许可证</w:t>
      </w:r>
    </w:p>
    <w:p>
      <w:pPr>
        <w:spacing w:line="600" w:lineRule="exact"/>
        <w:ind w:firstLine="643" w:firstLineChars="200"/>
        <w:rPr>
          <w:rFonts w:hint="eastAsia" w:ascii="Times New Roman" w:hAnsi="Times New Roman" w:eastAsia="仿宋GB2312"/>
          <w:sz w:val="28"/>
          <w:szCs w:val="28"/>
          <w:lang w:eastAsia="zh-CN"/>
        </w:rPr>
      </w:pPr>
      <w:r>
        <w:rPr>
          <w:rFonts w:ascii="Times New Roman" w:hAnsi="Times New Roman" w:eastAsia="仿宋GB2312"/>
          <w:b/>
          <w:bCs/>
          <w:sz w:val="32"/>
          <w:szCs w:val="32"/>
        </w:rPr>
        <w:t>3.审批结果的有效期限：</w:t>
      </w:r>
      <w:r>
        <w:rPr>
          <w:rFonts w:hint="eastAsia" w:ascii="Times New Roman" w:hAnsi="Times New Roman" w:eastAsia="仿宋GB2312"/>
          <w:b/>
          <w:bCs/>
          <w:sz w:val="32"/>
          <w:szCs w:val="32"/>
          <w:lang w:eastAsia="zh-CN"/>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4.规定审批结果有效期限的依据：</w:t>
      </w:r>
      <w:r>
        <w:rPr>
          <w:rFonts w:hint="eastAsia" w:ascii="Times New Roman" w:hAnsi="Times New Roman" w:eastAsia="仿宋GB2312"/>
          <w:sz w:val="32"/>
          <w:szCs w:val="32"/>
        </w:rPr>
        <w:t>无</w:t>
      </w:r>
    </w:p>
    <w:p>
      <w:pPr>
        <w:spacing w:line="600" w:lineRule="exact"/>
        <w:ind w:firstLine="643" w:firstLineChars="200"/>
        <w:rPr>
          <w:rFonts w:hint="eastAsia" w:ascii="Times New Roman" w:hAnsi="Times New Roman" w:eastAsia="仿宋GB2312"/>
          <w:sz w:val="28"/>
          <w:szCs w:val="28"/>
          <w:lang w:eastAsia="zh-CN"/>
        </w:rPr>
      </w:pPr>
      <w:r>
        <w:rPr>
          <w:rFonts w:ascii="Times New Roman" w:hAnsi="Times New Roman" w:eastAsia="仿宋GB2312"/>
          <w:b/>
          <w:bCs/>
          <w:sz w:val="32"/>
          <w:szCs w:val="32"/>
        </w:rPr>
        <w:t>5.是否需要办理审批结果变更手续：</w:t>
      </w:r>
      <w:r>
        <w:rPr>
          <w:rFonts w:hint="eastAsia" w:ascii="Times New Roman" w:hAnsi="Times New Roman" w:eastAsia="仿宋GB2312"/>
          <w:sz w:val="32"/>
          <w:szCs w:val="32"/>
          <w:lang w:eastAsia="zh-CN"/>
        </w:rPr>
        <w:t>否</w:t>
      </w:r>
    </w:p>
    <w:p>
      <w:pPr>
        <w:spacing w:line="60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6.办理审批结果变更手续的要求：</w:t>
      </w:r>
      <w:r>
        <w:rPr>
          <w:rFonts w:hint="eastAsia" w:ascii="Times New Roman" w:hAnsi="Times New Roman" w:eastAsia="仿宋GB2312"/>
          <w:sz w:val="32"/>
          <w:szCs w:val="32"/>
        </w:rPr>
        <w:t>无</w:t>
      </w:r>
    </w:p>
    <w:p>
      <w:pPr>
        <w:spacing w:line="600" w:lineRule="exact"/>
        <w:ind w:firstLine="643" w:firstLineChars="200"/>
        <w:rPr>
          <w:rFonts w:ascii="Times New Roman" w:hAnsi="Times New Roman" w:eastAsia="仿宋GB2312"/>
          <w:sz w:val="28"/>
          <w:szCs w:val="28"/>
        </w:rPr>
      </w:pPr>
      <w:r>
        <w:rPr>
          <w:rFonts w:ascii="Times New Roman" w:hAnsi="Times New Roman" w:eastAsia="仿宋GB2312"/>
          <w:b/>
          <w:bCs/>
          <w:sz w:val="32"/>
          <w:szCs w:val="32"/>
        </w:rPr>
        <w:t>7.是否允许办理行政许可证件延续手续：</w:t>
      </w:r>
      <w:r>
        <w:rPr>
          <w:rFonts w:hint="eastAsia" w:ascii="Times New Roman" w:hAnsi="Times New Roman" w:eastAsia="仿宋GB2312"/>
          <w:sz w:val="32"/>
          <w:szCs w:val="32"/>
        </w:rPr>
        <w:t>否</w:t>
      </w:r>
    </w:p>
    <w:p>
      <w:pPr>
        <w:spacing w:line="600" w:lineRule="exact"/>
        <w:ind w:firstLine="643" w:firstLineChars="200"/>
        <w:rPr>
          <w:rFonts w:ascii="Times New Roman" w:hAnsi="Times New Roman" w:eastAsia="仿宋GB2312"/>
          <w:b/>
          <w:bCs/>
          <w:sz w:val="32"/>
          <w:szCs w:val="32"/>
        </w:rPr>
      </w:pPr>
      <w:r>
        <w:rPr>
          <w:rFonts w:ascii="Times New Roman" w:hAnsi="Times New Roman" w:eastAsia="仿宋GB2312"/>
          <w:b/>
          <w:bCs/>
          <w:sz w:val="32"/>
          <w:szCs w:val="32"/>
        </w:rPr>
        <w:t>8.办理行政许可证件延续手续的要求：</w:t>
      </w:r>
      <w:r>
        <w:rPr>
          <w:rFonts w:hint="eastAsia" w:ascii="Times New Roman" w:hAnsi="Times New Roman" w:eastAsia="仿宋GB2312"/>
          <w:sz w:val="32"/>
          <w:szCs w:val="32"/>
        </w:rPr>
        <w:t>无</w:t>
      </w:r>
    </w:p>
    <w:p>
      <w:pPr>
        <w:spacing w:line="600" w:lineRule="exact"/>
        <w:ind w:firstLine="643" w:firstLineChars="200"/>
        <w:rPr>
          <w:rFonts w:ascii="Times New Roman" w:hAnsi="Times New Roman" w:eastAsia="仿宋GB2312"/>
          <w:sz w:val="28"/>
          <w:szCs w:val="28"/>
        </w:rPr>
      </w:pPr>
      <w:r>
        <w:rPr>
          <w:rFonts w:ascii="Times New Roman" w:hAnsi="Times New Roman" w:eastAsia="仿宋GB2312"/>
          <w:b/>
          <w:bCs/>
          <w:sz w:val="32"/>
          <w:szCs w:val="32"/>
        </w:rPr>
        <w:t>9.审批结果的有效地域范围：</w:t>
      </w:r>
      <w:r>
        <w:rPr>
          <w:rFonts w:ascii="Times New Roman" w:hAnsi="Times New Roman" w:eastAsia="方正仿宋_GBK"/>
          <w:sz w:val="32"/>
          <w:szCs w:val="32"/>
        </w:rPr>
        <w:t>五华区</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十一、行政许可数量限制</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1.有无行政许可数量限制：</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2.公布数量限制的方式：</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3.公布数量限制的周期：</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4.在数量限制条件下实施行政许可的方式：</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方正仿宋_GBK"/>
          <w:sz w:val="32"/>
          <w:szCs w:val="32"/>
        </w:rPr>
      </w:pPr>
      <w:r>
        <w:rPr>
          <w:rFonts w:ascii="Times New Roman" w:hAnsi="Times New Roman" w:eastAsia="仿宋GB2312"/>
          <w:b/>
          <w:bCs/>
          <w:sz w:val="32"/>
          <w:szCs w:val="32"/>
        </w:rPr>
        <w:t>5.规定在数量限制条件下实施行政许可方式的依据：</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十二、行政许可后年检</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1.有无年检要求：</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2.设定年检要求的依据：</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3.年检周期：</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4.年检是否要求报送材料：</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5.年检报送材料名称：</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6.年检是否收费：</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7.年检收费项目的名称、年检收费项目的标准、设定年检收费项目的依据、规定年检项目收费标准的依据：</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8.通过年检的证明或者标志：</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十三、行政许可后年报</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1.有无年报要求：</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2.年报报送材料名称：</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3.设定年报要求的依据：</w:t>
      </w:r>
      <w:r>
        <w:rPr>
          <w:rFonts w:ascii="Times New Roman" w:hAnsi="Times New Roman" w:eastAsia="方正仿宋_GBK"/>
          <w:sz w:val="32"/>
          <w:szCs w:val="32"/>
        </w:rPr>
        <w:t>无</w:t>
      </w:r>
    </w:p>
    <w:p>
      <w:pPr>
        <w:spacing w:line="540" w:lineRule="exact"/>
        <w:ind w:firstLine="643" w:firstLineChars="200"/>
        <w:outlineLvl w:val="2"/>
        <w:rPr>
          <w:rFonts w:ascii="Times New Roman" w:hAnsi="Times New Roman" w:eastAsia="仿宋GB2312"/>
          <w:b/>
          <w:bCs/>
          <w:sz w:val="32"/>
          <w:szCs w:val="32"/>
        </w:rPr>
      </w:pPr>
      <w:r>
        <w:rPr>
          <w:rFonts w:ascii="Times New Roman" w:hAnsi="Times New Roman" w:eastAsia="仿宋GB2312"/>
          <w:b/>
          <w:bCs/>
          <w:sz w:val="32"/>
          <w:szCs w:val="32"/>
        </w:rPr>
        <w:t>4.年报周期：</w:t>
      </w:r>
      <w:r>
        <w:rPr>
          <w:rFonts w:ascii="Times New Roman" w:hAnsi="Times New Roman" w:eastAsia="方正仿宋_GBK"/>
          <w:sz w:val="32"/>
          <w:szCs w:val="32"/>
        </w:rPr>
        <w:t>无</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十四、监管主体</w:t>
      </w:r>
    </w:p>
    <w:p>
      <w:pPr>
        <w:pStyle w:val="2"/>
        <w:rPr>
          <w:rFonts w:hint="eastAsia" w:ascii="Times New Roman" w:hAnsi="Times New Roman" w:eastAsia="仿宋GB2312"/>
          <w:b/>
          <w:bCs/>
          <w:sz w:val="32"/>
          <w:szCs w:val="32"/>
          <w:lang w:eastAsia="zh-CN"/>
        </w:rPr>
      </w:pPr>
      <w:r>
        <w:rPr>
          <w:rFonts w:hint="eastAsia" w:ascii="Times New Roman" w:hAnsi="Times New Roman" w:eastAsia="方正仿宋_GBK"/>
          <w:sz w:val="32"/>
          <w:szCs w:val="32"/>
          <w:lang w:eastAsia="zh-CN"/>
        </w:rPr>
        <w:t>市公安局五华分局</w:t>
      </w:r>
    </w:p>
    <w:p>
      <w:pPr>
        <w:pStyle w:val="2"/>
        <w:rPr>
          <w:rFonts w:hint="eastAsia" w:ascii="Times New Roman" w:hAnsi="Times New Roman" w:eastAsia="仿宋GB2312"/>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08F01"/>
    <w:multiLevelType w:val="singleLevel"/>
    <w:tmpl w:val="C8308F01"/>
    <w:lvl w:ilvl="0" w:tentative="0">
      <w:start w:val="5"/>
      <w:numFmt w:val="decimal"/>
      <w:lvlText w:val="%1."/>
      <w:lvlJc w:val="left"/>
      <w:pPr>
        <w:tabs>
          <w:tab w:val="left" w:pos="312"/>
        </w:tabs>
      </w:pPr>
    </w:lvl>
  </w:abstractNum>
  <w:abstractNum w:abstractNumId="1">
    <w:nsid w:val="647070EC"/>
    <w:multiLevelType w:val="singleLevel"/>
    <w:tmpl w:val="647070EC"/>
    <w:lvl w:ilvl="0" w:tentative="0">
      <w:start w:val="3"/>
      <w:numFmt w:val="chineseCounting"/>
      <w:suff w:val="nothing"/>
      <w:lvlText w:val="%1、"/>
      <w:lvlJc w:val="left"/>
      <w:rPr>
        <w:rFonts w:hint="eastAsia"/>
      </w:rPr>
    </w:lvl>
  </w:abstractNum>
  <w:abstractNum w:abstractNumId="2">
    <w:nsid w:val="79A771A6"/>
    <w:multiLevelType w:val="singleLevel"/>
    <w:tmpl w:val="79A771A6"/>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2454E"/>
    <w:rsid w:val="05D2311E"/>
    <w:rsid w:val="22E937BD"/>
    <w:rsid w:val="5882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2023-12-25T08:00:00Z</dcterms:created>
  <dc:creator>昆明市公安局五华分局治安管理大队</dc:creator>
  <cp:lastModifiedBy>昆明市公安局五华分局治安管理大队</cp:lastModifiedBy>
  <dcterms:modified xsi:type="dcterms:W3CDTF">2023-12-26T02:25:00Z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