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ascii="宋体" w:hAnsi="宋体" w:cs="宋体"/>
          <w:sz w:val="28"/>
          <w:szCs w:val="28"/>
          <w:highlight w:val="none"/>
        </w:rPr>
      </w:pPr>
      <w:r>
        <w:rPr>
          <w:rFonts w:hint="eastAsia" w:ascii="方正小标宋_GBK" w:hAnsi="方正小标宋_GBK" w:eastAsia="方正小标宋_GBK" w:cs="方正小标宋_GBK"/>
          <w:sz w:val="40"/>
          <w:szCs w:val="40"/>
          <w:highlight w:val="none"/>
        </w:rPr>
        <w:t>行政许可事项实施规范</w:t>
      </w:r>
    </w:p>
    <w:p>
      <w:pPr>
        <w:spacing w:after="156" w:afterLines="50" w:line="540" w:lineRule="exact"/>
        <w:jc w:val="center"/>
        <w:outlineLvl w:val="0"/>
        <w:rPr>
          <w:rFonts w:ascii="宋体" w:hAnsi="宋体" w:cs="宋体"/>
          <w:sz w:val="28"/>
          <w:szCs w:val="28"/>
          <w:highlight w:val="none"/>
        </w:rPr>
      </w:pPr>
      <w:r>
        <w:rPr>
          <w:rFonts w:hint="eastAsia" w:ascii="方正楷体_GBK" w:hAnsi="方正楷体_GBK" w:eastAsia="方正楷体_GBK" w:cs="方正楷体_GBK"/>
          <w:sz w:val="32"/>
          <w:szCs w:val="32"/>
          <w:highlight w:val="none"/>
        </w:rPr>
        <w:t>（基本要素）</w:t>
      </w:r>
    </w:p>
    <w:p>
      <w:pPr>
        <w:spacing w:after="156" w:afterLines="50" w:line="540" w:lineRule="exact"/>
        <w:jc w:val="center"/>
        <w:outlineLvl w:val="0"/>
        <w:rPr>
          <w:rFonts w:ascii="宋体" w:hAnsi="宋体" w:cs="宋体"/>
          <w:sz w:val="28"/>
          <w:szCs w:val="28"/>
          <w:highlight w:val="none"/>
        </w:rPr>
      </w:pP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　　一、行政许可事项名称：</w:t>
      </w:r>
    </w:p>
    <w:p>
      <w:pPr>
        <w:spacing w:line="540" w:lineRule="exact"/>
        <w:ind w:firstLine="420"/>
        <w:outlineLvl w:val="1"/>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慈善组织公开募捐资格审批</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　　二、主管部门：</w:t>
      </w:r>
    </w:p>
    <w:p>
      <w:pPr>
        <w:spacing w:line="540" w:lineRule="exact"/>
        <w:ind w:firstLine="560" w:firstLineChars="200"/>
        <w:outlineLvl w:val="1"/>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区</w:t>
      </w:r>
      <w:r>
        <w:rPr>
          <w:rFonts w:hint="eastAsia" w:ascii="方正仿宋_GBK" w:hAnsi="方正仿宋_GBK" w:eastAsia="方正仿宋_GBK" w:cs="方正仿宋_GBK"/>
          <w:sz w:val="28"/>
          <w:szCs w:val="28"/>
          <w:highlight w:val="none"/>
        </w:rPr>
        <w:t>民政局</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　　三、实施机关：</w:t>
      </w:r>
    </w:p>
    <w:p>
      <w:pPr>
        <w:spacing w:line="540" w:lineRule="exact"/>
        <w:ind w:firstLine="560" w:firstLineChars="200"/>
        <w:outlineLvl w:val="1"/>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eastAsia="zh-CN"/>
        </w:rPr>
        <w:t>五华区民政局</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　　四、设定和实施依据：</w:t>
      </w:r>
    </w:p>
    <w:p>
      <w:pPr>
        <w:spacing w:line="540" w:lineRule="exact"/>
        <w:ind w:firstLine="420"/>
        <w:outlineLvl w:val="1"/>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《中华人民共和国慈善法》</w:t>
      </w:r>
    </w:p>
    <w:p>
      <w:pPr>
        <w:spacing w:line="540" w:lineRule="exact"/>
        <w:outlineLvl w:val="1"/>
        <w:rPr>
          <w:rFonts w:ascii="方正仿宋_GBK" w:hAnsi="方正仿宋_GBK" w:eastAsia="方正仿宋_GBK" w:cs="方正仿宋_GBK"/>
          <w:sz w:val="28"/>
          <w:szCs w:val="28"/>
          <w:highlight w:val="none"/>
        </w:rPr>
      </w:pPr>
      <w:r>
        <w:rPr>
          <w:rFonts w:hint="eastAsia" w:ascii="Times New Roman" w:hAnsi="Times New Roman" w:eastAsia="黑体"/>
          <w:sz w:val="28"/>
          <w:szCs w:val="28"/>
          <w:highlight w:val="none"/>
        </w:rPr>
        <w:t>　　五、子项：</w:t>
      </w:r>
    </w:p>
    <w:p>
      <w:pPr>
        <w:spacing w:line="540" w:lineRule="exact"/>
        <w:ind w:firstLine="420"/>
        <w:outlineLvl w:val="1"/>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1.慈善组织公开募捐资格审批（设区的市级权限）</w:t>
      </w:r>
    </w:p>
    <w:p>
      <w:pPr>
        <w:spacing w:line="540" w:lineRule="exact"/>
        <w:ind w:firstLine="420"/>
        <w:outlineLvl w:val="1"/>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2.慈善组织公开募捐资格审批（</w:t>
      </w:r>
      <w:r>
        <w:rPr>
          <w:rFonts w:hint="eastAsia" w:ascii="方正仿宋_GBK" w:hAnsi="方正仿宋_GBK" w:eastAsia="方正仿宋_GBK" w:cs="方正仿宋_GBK"/>
          <w:sz w:val="28"/>
          <w:szCs w:val="28"/>
          <w:highlight w:val="none"/>
          <w:lang w:eastAsia="zh-CN"/>
        </w:rPr>
        <w:t>区级</w:t>
      </w:r>
      <w:r>
        <w:rPr>
          <w:rFonts w:hint="eastAsia" w:ascii="方正仿宋_GBK" w:hAnsi="方正仿宋_GBK" w:eastAsia="方正仿宋_GBK" w:cs="方正仿宋_GBK"/>
          <w:sz w:val="28"/>
          <w:szCs w:val="28"/>
          <w:highlight w:val="none"/>
        </w:rPr>
        <w:t>权限）</w:t>
      </w:r>
    </w:p>
    <w:p>
      <w:pPr>
        <w:pStyle w:val="2"/>
        <w:rPr>
          <w:highlight w:val="none"/>
        </w:rPr>
      </w:pPr>
    </w:p>
    <w:p>
      <w:pPr>
        <w:spacing w:line="600" w:lineRule="exact"/>
        <w:rPr>
          <w:rFonts w:ascii="方正小标宋_GBK" w:hAnsi="方正小标宋_GBK" w:eastAsia="方正小标宋_GBK" w:cs="方正小标宋_GBK"/>
          <w:sz w:val="40"/>
          <w:szCs w:val="40"/>
          <w:highlight w:val="none"/>
        </w:rPr>
      </w:pPr>
    </w:p>
    <w:p>
      <w:pPr>
        <w:spacing w:line="600" w:lineRule="exact"/>
        <w:rPr>
          <w:rFonts w:ascii="方正小标宋_GBK" w:hAnsi="方正小标宋_GBK" w:eastAsia="方正小标宋_GBK" w:cs="方正小标宋_GBK"/>
          <w:sz w:val="40"/>
          <w:szCs w:val="40"/>
          <w:highlight w:val="none"/>
        </w:rPr>
      </w:pPr>
    </w:p>
    <w:p>
      <w:pPr>
        <w:spacing w:line="600" w:lineRule="exact"/>
        <w:rPr>
          <w:rFonts w:ascii="方正小标宋_GBK" w:hAnsi="方正小标宋_GBK" w:eastAsia="方正小标宋_GBK" w:cs="方正小标宋_GBK"/>
          <w:sz w:val="40"/>
          <w:szCs w:val="40"/>
          <w:highlight w:val="none"/>
        </w:rPr>
      </w:pPr>
    </w:p>
    <w:p>
      <w:pPr>
        <w:spacing w:line="600" w:lineRule="exact"/>
        <w:rPr>
          <w:rFonts w:ascii="方正小标宋_GBK" w:hAnsi="方正小标宋_GBK" w:eastAsia="方正小标宋_GBK" w:cs="方正小标宋_GBK"/>
          <w:sz w:val="40"/>
          <w:szCs w:val="40"/>
          <w:highlight w:val="none"/>
        </w:rPr>
      </w:pPr>
    </w:p>
    <w:p>
      <w:pPr>
        <w:spacing w:line="600" w:lineRule="exact"/>
        <w:rPr>
          <w:rFonts w:ascii="方正小标宋_GBK" w:hAnsi="方正小标宋_GBK" w:eastAsia="方正小标宋_GBK" w:cs="方正小标宋_GBK"/>
          <w:sz w:val="40"/>
          <w:szCs w:val="40"/>
          <w:highlight w:val="none"/>
        </w:rPr>
      </w:pPr>
    </w:p>
    <w:p>
      <w:pPr>
        <w:spacing w:line="600" w:lineRule="exact"/>
        <w:rPr>
          <w:rFonts w:ascii="方正小标宋_GBK" w:hAnsi="方正小标宋_GBK" w:eastAsia="方正小标宋_GBK" w:cs="方正小标宋_GBK"/>
          <w:sz w:val="40"/>
          <w:szCs w:val="40"/>
          <w:highlight w:val="none"/>
        </w:rPr>
      </w:pPr>
    </w:p>
    <w:p>
      <w:pPr>
        <w:spacing w:line="600" w:lineRule="exact"/>
        <w:rPr>
          <w:rFonts w:ascii="方正小标宋_GBK" w:hAnsi="方正小标宋_GBK" w:eastAsia="方正小标宋_GBK" w:cs="方正小标宋_GBK"/>
          <w:sz w:val="40"/>
          <w:szCs w:val="40"/>
          <w:highlight w:val="none"/>
        </w:rPr>
      </w:pPr>
    </w:p>
    <w:p>
      <w:pPr>
        <w:spacing w:line="600" w:lineRule="exact"/>
        <w:rPr>
          <w:rFonts w:ascii="方正小标宋_GBK" w:hAnsi="方正小标宋_GBK" w:eastAsia="方正小标宋_GBK" w:cs="方正小标宋_GBK"/>
          <w:sz w:val="40"/>
          <w:szCs w:val="40"/>
          <w:highlight w:val="none"/>
        </w:rPr>
      </w:pPr>
    </w:p>
    <w:p>
      <w:pPr>
        <w:spacing w:line="600" w:lineRule="exact"/>
        <w:ind w:firstLine="800" w:firstLineChars="200"/>
        <w:jc w:val="center"/>
        <w:rPr>
          <w:rFonts w:ascii="方正小标宋_GBK" w:hAnsi="方正小标宋_GBK" w:eastAsia="方正小标宋_GBK" w:cs="方正小标宋_GBK"/>
          <w:sz w:val="40"/>
          <w:szCs w:val="40"/>
          <w:highlight w:val="none"/>
        </w:rPr>
      </w:pPr>
      <w:r>
        <w:rPr>
          <w:rFonts w:hint="eastAsia" w:ascii="方正小标宋_GBK" w:hAnsi="方正小标宋_GBK" w:eastAsia="方正小标宋_GBK" w:cs="方正小标宋_GBK"/>
          <w:sz w:val="40"/>
          <w:szCs w:val="40"/>
          <w:highlight w:val="none"/>
        </w:rPr>
        <w:t>慈善组织公开募捐资格审批（</w:t>
      </w:r>
      <w:r>
        <w:rPr>
          <w:rFonts w:hint="eastAsia" w:ascii="方正小标宋_GBK" w:hAnsi="方正小标宋_GBK" w:eastAsia="方正小标宋_GBK" w:cs="方正小标宋_GBK"/>
          <w:sz w:val="40"/>
          <w:szCs w:val="40"/>
          <w:highlight w:val="none"/>
          <w:lang w:eastAsia="zh-CN"/>
        </w:rPr>
        <w:t>区级</w:t>
      </w:r>
      <w:r>
        <w:rPr>
          <w:rFonts w:hint="eastAsia" w:ascii="方正小标宋_GBK" w:hAnsi="方正小标宋_GBK" w:eastAsia="方正小标宋_GBK" w:cs="方正小标宋_GBK"/>
          <w:sz w:val="40"/>
          <w:szCs w:val="40"/>
          <w:highlight w:val="none"/>
        </w:rPr>
        <w:t>权限）</w:t>
      </w:r>
    </w:p>
    <w:p>
      <w:pPr>
        <w:jc w:val="center"/>
        <w:rPr>
          <w:rFonts w:ascii="方正小标宋_GBK" w:hAnsi="方正小标宋_GBK" w:eastAsia="方正小标宋_GBK" w:cs="方正小标宋_GBK"/>
          <w:sz w:val="40"/>
          <w:szCs w:val="40"/>
          <w:highlight w:val="none"/>
        </w:rPr>
      </w:pPr>
      <w:r>
        <w:rPr>
          <w:rFonts w:hint="eastAsia" w:ascii="方正小标宋_GBK" w:hAnsi="方正小标宋_GBK" w:eastAsia="方正小标宋_GBK" w:cs="方正小标宋_GBK"/>
          <w:sz w:val="40"/>
          <w:szCs w:val="40"/>
          <w:highlight w:val="none"/>
        </w:rPr>
        <w:t>【000111105004】</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　　一、基本要素</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w:t>
      </w:r>
      <w:r>
        <w:rPr>
          <w:rFonts w:ascii="Times New Roman" w:hAnsi="Times New Roman" w:eastAsia="仿宋GB2312"/>
          <w:b/>
          <w:bCs/>
          <w:sz w:val="28"/>
          <w:szCs w:val="28"/>
          <w:highlight w:val="none"/>
        </w:rPr>
        <w:t>行政许可事项名称</w:t>
      </w:r>
      <w:r>
        <w:rPr>
          <w:rFonts w:hint="eastAsia" w:ascii="Times New Roman" w:hAnsi="Times New Roman" w:eastAsia="仿宋GB2312"/>
          <w:b/>
          <w:bCs/>
          <w:sz w:val="28"/>
          <w:szCs w:val="28"/>
          <w:highlight w:val="none"/>
        </w:rPr>
        <w:t>及编码</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慈善组织公开募捐资格审批【00011110500Y】</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行政许可</w:t>
      </w:r>
      <w:r>
        <w:rPr>
          <w:rFonts w:hint="eastAsia" w:ascii="Times New Roman" w:hAnsi="Times New Roman" w:eastAsia="仿宋GB2312"/>
          <w:b/>
          <w:bCs/>
          <w:sz w:val="28"/>
          <w:szCs w:val="28"/>
          <w:highlight w:val="none"/>
        </w:rPr>
        <w:t>事项子项名称及编码</w:t>
      </w:r>
    </w:p>
    <w:p>
      <w:pPr>
        <w:spacing w:line="360" w:lineRule="auto"/>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慈善组织公开募捐资格审批（</w:t>
      </w:r>
      <w:r>
        <w:rPr>
          <w:rFonts w:hint="eastAsia" w:ascii="方正仿宋_GBK" w:hAnsi="方正仿宋_GBK" w:eastAsia="方正仿宋_GBK" w:cs="方正仿宋_GBK"/>
          <w:sz w:val="28"/>
          <w:szCs w:val="28"/>
          <w:highlight w:val="none"/>
          <w:lang w:eastAsia="zh-CN"/>
        </w:rPr>
        <w:t>区级</w:t>
      </w:r>
      <w:r>
        <w:rPr>
          <w:rFonts w:hint="eastAsia" w:ascii="方正仿宋_GBK" w:hAnsi="方正仿宋_GBK" w:eastAsia="方正仿宋_GBK" w:cs="方正仿宋_GBK"/>
          <w:sz w:val="28"/>
          <w:szCs w:val="28"/>
          <w:highlight w:val="none"/>
        </w:rPr>
        <w:t>权限）【000111105004】</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3.行政许可事项业务办理项名称及编码</w:t>
      </w:r>
    </w:p>
    <w:p>
      <w:pPr>
        <w:spacing w:line="360" w:lineRule="auto"/>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1.慈善组织公开募捐资格审批（</w:t>
      </w:r>
      <w:r>
        <w:rPr>
          <w:rFonts w:hint="eastAsia" w:ascii="方正仿宋_GBK" w:hAnsi="方正仿宋_GBK" w:eastAsia="方正仿宋_GBK" w:cs="方正仿宋_GBK"/>
          <w:sz w:val="28"/>
          <w:szCs w:val="28"/>
          <w:highlight w:val="none"/>
          <w:lang w:eastAsia="zh-CN"/>
        </w:rPr>
        <w:t>区级</w:t>
      </w:r>
      <w:r>
        <w:rPr>
          <w:rFonts w:hint="eastAsia" w:ascii="方正仿宋_GBK" w:hAnsi="方正仿宋_GBK" w:eastAsia="方正仿宋_GBK" w:cs="方正仿宋_GBK"/>
          <w:sz w:val="28"/>
          <w:szCs w:val="28"/>
          <w:highlight w:val="none"/>
        </w:rPr>
        <w:t>权限）(00011110500401)</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4.设定依据</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（1）《中华人民共和国慈善法》</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5.实施依据</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（1）《慈善组织公开募捐管理办法》</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6.监管依据</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（1）慈善组织公开募捐管理办法</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7.</w:t>
      </w:r>
      <w:r>
        <w:rPr>
          <w:rFonts w:ascii="Times New Roman" w:hAnsi="Times New Roman" w:eastAsia="仿宋GB2312"/>
          <w:b/>
          <w:bCs/>
          <w:sz w:val="28"/>
          <w:szCs w:val="28"/>
          <w:highlight w:val="none"/>
        </w:rPr>
        <w:t>实施机关</w:t>
      </w:r>
      <w:r>
        <w:rPr>
          <w:rFonts w:hint="eastAsia" w:ascii="Times New Roman" w:hAnsi="Times New Roman" w:eastAsia="仿宋GB2312"/>
          <w:b/>
          <w:bCs/>
          <w:sz w:val="28"/>
          <w:szCs w:val="28"/>
          <w:highlight w:val="none"/>
        </w:rPr>
        <w:t>：</w:t>
      </w:r>
      <w:r>
        <w:rPr>
          <w:rFonts w:hint="eastAsia" w:ascii="方正仿宋_GBK" w:hAnsi="方正仿宋_GBK" w:eastAsia="方正仿宋_GBK" w:cs="方正仿宋_GBK"/>
          <w:sz w:val="28"/>
          <w:szCs w:val="28"/>
          <w:highlight w:val="none"/>
          <w:lang w:eastAsia="zh-CN"/>
        </w:rPr>
        <w:t>区级</w:t>
      </w:r>
      <w:r>
        <w:rPr>
          <w:rFonts w:ascii="方正仿宋_GBK" w:hAnsi="方正仿宋_GBK" w:eastAsia="方正仿宋_GBK" w:cs="方正仿宋_GBK"/>
          <w:sz w:val="28"/>
          <w:szCs w:val="28"/>
          <w:highlight w:val="none"/>
        </w:rPr>
        <w:t>民政部门</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8.</w:t>
      </w:r>
      <w:r>
        <w:rPr>
          <w:rFonts w:ascii="Times New Roman" w:hAnsi="Times New Roman" w:eastAsia="仿宋GB2312"/>
          <w:b/>
          <w:bCs/>
          <w:sz w:val="28"/>
          <w:szCs w:val="28"/>
          <w:highlight w:val="none"/>
        </w:rPr>
        <w:t>审批层级</w:t>
      </w:r>
      <w:r>
        <w:rPr>
          <w:rFonts w:hint="eastAsia" w:ascii="Times New Roman" w:hAnsi="Times New Roman" w:eastAsia="仿宋GB2312"/>
          <w:b/>
          <w:bCs/>
          <w:sz w:val="28"/>
          <w:szCs w:val="28"/>
          <w:highlight w:val="none"/>
        </w:rPr>
        <w:t>：</w:t>
      </w:r>
      <w:r>
        <w:rPr>
          <w:rFonts w:hint="eastAsia" w:ascii="方正仿宋_GBK" w:hAnsi="方正仿宋_GBK" w:eastAsia="方正仿宋_GBK" w:cs="方正仿宋_GBK"/>
          <w:sz w:val="28"/>
          <w:szCs w:val="28"/>
          <w:highlight w:val="none"/>
          <w:lang w:eastAsia="zh-CN"/>
        </w:rPr>
        <w:t>区级</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9.行使</w:t>
      </w:r>
      <w:r>
        <w:rPr>
          <w:rFonts w:ascii="Times New Roman" w:hAnsi="Times New Roman" w:eastAsia="仿宋GB2312"/>
          <w:b/>
          <w:bCs/>
          <w:sz w:val="28"/>
          <w:szCs w:val="28"/>
          <w:highlight w:val="none"/>
        </w:rPr>
        <w:t>层级</w:t>
      </w:r>
      <w:r>
        <w:rPr>
          <w:rFonts w:hint="eastAsia" w:ascii="Times New Roman" w:hAnsi="Times New Roman" w:eastAsia="仿宋GB2312"/>
          <w:b/>
          <w:bCs/>
          <w:sz w:val="28"/>
          <w:szCs w:val="28"/>
          <w:highlight w:val="none"/>
        </w:rPr>
        <w:t>：</w:t>
      </w:r>
      <w:r>
        <w:rPr>
          <w:rFonts w:hint="eastAsia" w:ascii="方正仿宋_GBK" w:hAnsi="方正仿宋_GBK" w:eastAsia="方正仿宋_GBK" w:cs="方正仿宋_GBK"/>
          <w:sz w:val="28"/>
          <w:szCs w:val="28"/>
          <w:highlight w:val="none"/>
          <w:lang w:eastAsia="zh-CN"/>
        </w:rPr>
        <w:t>区级</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10.</w:t>
      </w:r>
      <w:r>
        <w:rPr>
          <w:rFonts w:ascii="Times New Roman" w:hAnsi="Times New Roman" w:eastAsia="仿宋GB2312"/>
          <w:b/>
          <w:bCs/>
          <w:sz w:val="28"/>
          <w:szCs w:val="28"/>
          <w:highlight w:val="none"/>
        </w:rPr>
        <w:t>是否由审批机关受理</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是</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11.</w:t>
      </w:r>
      <w:r>
        <w:rPr>
          <w:rFonts w:ascii="Times New Roman" w:hAnsi="Times New Roman" w:eastAsia="仿宋GB2312"/>
          <w:b/>
          <w:bCs/>
          <w:sz w:val="28"/>
          <w:szCs w:val="28"/>
          <w:highlight w:val="none"/>
        </w:rPr>
        <w:t>受理层级</w:t>
      </w:r>
      <w:r>
        <w:rPr>
          <w:rFonts w:hint="eastAsia" w:ascii="Times New Roman" w:hAnsi="Times New Roman" w:eastAsia="仿宋GB2312"/>
          <w:b/>
          <w:bCs/>
          <w:sz w:val="28"/>
          <w:szCs w:val="28"/>
          <w:highlight w:val="none"/>
        </w:rPr>
        <w:t>：</w:t>
      </w:r>
      <w:r>
        <w:rPr>
          <w:rFonts w:hint="eastAsia" w:ascii="方正仿宋_GBK" w:hAnsi="方正仿宋_GBK" w:eastAsia="方正仿宋_GBK" w:cs="方正仿宋_GBK"/>
          <w:sz w:val="28"/>
          <w:szCs w:val="28"/>
          <w:highlight w:val="none"/>
          <w:lang w:eastAsia="zh-CN"/>
        </w:rPr>
        <w:t>区级</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12.</w:t>
      </w:r>
      <w:r>
        <w:rPr>
          <w:rFonts w:ascii="Times New Roman" w:hAnsi="Times New Roman" w:eastAsia="仿宋GB2312"/>
          <w:b/>
          <w:bCs/>
          <w:sz w:val="28"/>
          <w:szCs w:val="28"/>
          <w:highlight w:val="none"/>
        </w:rPr>
        <w:t>是否存在初审环节</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13.</w:t>
      </w:r>
      <w:r>
        <w:rPr>
          <w:rFonts w:ascii="Times New Roman" w:hAnsi="Times New Roman" w:eastAsia="仿宋GB2312"/>
          <w:b/>
          <w:bCs/>
          <w:sz w:val="28"/>
          <w:szCs w:val="28"/>
          <w:highlight w:val="none"/>
        </w:rPr>
        <w:t>初审层级</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无</w:t>
      </w:r>
    </w:p>
    <w:p>
      <w:pPr>
        <w:spacing w:line="600" w:lineRule="exact"/>
        <w:ind w:firstLine="562" w:firstLineChars="200"/>
        <w:jc w:val="left"/>
        <w:rPr>
          <w:rFonts w:ascii="方正仿宋_GBK" w:hAnsi="方正仿宋_GBK" w:eastAsia="方正仿宋_GBK" w:cs="方正仿宋_GBK"/>
          <w:sz w:val="28"/>
          <w:szCs w:val="28"/>
          <w:highlight w:val="none"/>
        </w:rPr>
      </w:pPr>
      <w:r>
        <w:rPr>
          <w:rFonts w:hint="eastAsia" w:ascii="Times New Roman" w:hAnsi="Times New Roman" w:eastAsia="仿宋GB2312"/>
          <w:b/>
          <w:bCs/>
          <w:sz w:val="28"/>
          <w:szCs w:val="28"/>
          <w:highlight w:val="none"/>
        </w:rPr>
        <w:t>14.</w:t>
      </w:r>
      <w:r>
        <w:rPr>
          <w:rFonts w:ascii="Times New Roman" w:hAnsi="Times New Roman" w:eastAsia="仿宋GB2312"/>
          <w:b/>
          <w:bCs/>
          <w:sz w:val="28"/>
          <w:szCs w:val="28"/>
          <w:highlight w:val="none"/>
        </w:rPr>
        <w:t>对应政务服务事项国家级基本目录名称</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公开募捐资格审</w:t>
      </w:r>
      <w:r>
        <w:rPr>
          <w:rFonts w:hint="eastAsia" w:ascii="方正仿宋_GBK" w:hAnsi="方正仿宋_GBK" w:eastAsia="方正仿宋_GBK" w:cs="方正仿宋_GBK"/>
          <w:sz w:val="28"/>
          <w:szCs w:val="28"/>
          <w:highlight w:val="none"/>
        </w:rPr>
        <w:t>批</w:t>
      </w:r>
    </w:p>
    <w:p>
      <w:pPr>
        <w:spacing w:line="600" w:lineRule="exact"/>
        <w:ind w:firstLine="562" w:firstLineChars="200"/>
        <w:jc w:val="left"/>
        <w:rPr>
          <w:rFonts w:ascii="方正仿宋_GBK" w:hAnsi="方正仿宋_GBK" w:eastAsia="方正仿宋_GBK" w:cs="方正仿宋_GBK"/>
          <w:sz w:val="28"/>
          <w:szCs w:val="28"/>
          <w:highlight w:val="none"/>
        </w:rPr>
      </w:pPr>
      <w:r>
        <w:rPr>
          <w:rFonts w:hint="eastAsia" w:ascii="Times New Roman" w:hAnsi="Times New Roman" w:eastAsia="仿宋GB2312"/>
          <w:b/>
          <w:bCs/>
          <w:sz w:val="28"/>
          <w:szCs w:val="28"/>
          <w:highlight w:val="none"/>
        </w:rPr>
        <w:t>15.要素统一情况：</w:t>
      </w:r>
      <w:r>
        <w:rPr>
          <w:rFonts w:hint="eastAsia" w:ascii="方正仿宋_GBK" w:hAnsi="方正仿宋_GBK" w:eastAsia="方正仿宋_GBK" w:cs="方正仿宋_GBK"/>
          <w:sz w:val="28"/>
          <w:szCs w:val="28"/>
          <w:highlight w:val="none"/>
        </w:rPr>
        <w:t>全省要素统一</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　　二、行政许可事项类型</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资格型</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　　三、行政许可条件</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1.准予行政许可的条件</w:t>
      </w:r>
    </w:p>
    <w:p>
      <w:pPr>
        <w:pStyle w:val="6"/>
        <w:widowControl/>
        <w:shd w:val="clear"/>
        <w:spacing w:beforeAutospacing="0" w:after="0" w:afterAutospacing="0" w:line="600" w:lineRule="exact"/>
        <w:ind w:firstLine="560" w:firstLineChars="200"/>
        <w:outlineLvl w:val="2"/>
        <w:rPr>
          <w:rFonts w:ascii="方正仿宋_GBK" w:hAnsi="方正仿宋_GBK" w:eastAsia="方正仿宋_GBK" w:cs="方正仿宋_GBK"/>
          <w:kern w:val="2"/>
          <w:sz w:val="28"/>
          <w:szCs w:val="28"/>
          <w:highlight w:val="none"/>
        </w:rPr>
      </w:pPr>
      <w:r>
        <w:rPr>
          <w:rFonts w:ascii="方正仿宋_GBK" w:hAnsi="方正仿宋_GBK" w:eastAsia="方正仿宋_GBK" w:cs="方正仿宋_GBK"/>
          <w:kern w:val="2"/>
          <w:sz w:val="28"/>
          <w:szCs w:val="28"/>
          <w:highlight w:val="none"/>
        </w:rPr>
        <w:t>根据《慈善组织公开募捐管理办法》第五条规定，依法登记或者认定为慈善组织满二年的社会组织，申请公开募捐资格，应当符合下列条件：</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（1）根据法律法</w:t>
      </w:r>
      <w:bookmarkStart w:id="0" w:name="_GoBack"/>
      <w:bookmarkEnd w:id="0"/>
      <w:r>
        <w:rPr>
          <w:rFonts w:ascii="方正仿宋_GBK" w:hAnsi="方正仿宋_GBK" w:eastAsia="方正仿宋_GBK" w:cs="方正仿宋_GBK"/>
          <w:sz w:val="28"/>
          <w:szCs w:val="28"/>
          <w:highlight w:val="none"/>
        </w:rPr>
        <w:t>规和本组织章程建立规范的内部治理结构，理事会能够有效决策，负责人任职符合有关规定，理事会成员和负责人勤勉尽职，诚实守信；</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（2）理事会成员来自同一组织以及相互间存在关联关系组织的不超过三分之一，相互间具有近亲属关系的没有同时在理事会任职；</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（3）理事会成员中非内地居民不超过三分之一，法定代表人由内地居民担任;</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（4）秘书长为专职，理事长（会长）、秘书长不得由同一人兼任，有与本慈善组织开展活动相适应的专职工作人员；</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（5）在省级以上人民政府民政部门登记的慈善组织有三名以上监事组成的监事会；</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（6）依法办理税务登记，履行纳税义务；</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（7）按照规定参加社会组织评估，评估结果为3A及以上；</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（8）申请时未纳入异常名录；</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（9）申请公开募捐资格前二年，未因违反社会组织相关法律法规受到行政处罚，没有其他违反法律、法规、国家政策行为的。</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《慈善法》公布前设立的非公募基金会、具有公益性捐赠税前扣除资格的社会团体，登记满二年，经认定为慈善组织的，可以申请公开募捐资格。</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规定行政许可条件的依据</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《慈善组织公开募捐管理办法》第五条 依法登记或者认定为慈善组织满二年的社会组织，申请公开募捐资格，应当符合下列条件：</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（一）根据法律法规和本组织章程建立规范的内部治理结构，理事会能够有效决策，负责人任职符合有关规定，理事会成员和负责人勤勉尽职，诚实守信；</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（二）理事会成员来自同一组织以及相互间存在关联关系组织的不超过三分之一，相互间具有近亲属关系的没有同时在理事会任职；</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（三）理事会成员中非内地居民不超过三分之一，法定代表人由内地居民担任;</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（四）秘书长为专职，理事长（会长）、秘书长不得由同一人兼任，有与本慈善组织开展活动相适应的专职工作人员；</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（五）在省级以上人民政府民政部门登记的慈善组织有三名以上监事组成的监事会；</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（六）依法办理税务登记，履行纳税义务；</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（七）按照规定参加社会组织评估，评估结果为3A及以上；</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（八）申请时未纳入异常名录；</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（九）申请公开募捐资格前二年，未因违反社会组织相关法律法规受到行政处罚，没有其他违反法律、法规、国家政策行为的。</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《慈善法》公布前设立的非公募基金会、具有公益性捐赠税前扣除资格的社会团体，登记满二年，经认定为慈善组织的，可以申请公开募捐资格。</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　　四、</w:t>
      </w:r>
      <w:r>
        <w:rPr>
          <w:rFonts w:ascii="Times New Roman" w:hAnsi="Times New Roman" w:eastAsia="黑体"/>
          <w:sz w:val="28"/>
          <w:szCs w:val="28"/>
          <w:highlight w:val="none"/>
        </w:rPr>
        <w:t>行政许可服务对象类型</w:t>
      </w:r>
      <w:r>
        <w:rPr>
          <w:rFonts w:hint="eastAsia" w:ascii="Times New Roman" w:hAnsi="Times New Roman" w:eastAsia="黑体"/>
          <w:sz w:val="28"/>
          <w:szCs w:val="28"/>
          <w:highlight w:val="none"/>
        </w:rPr>
        <w:t>与改革举措</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1.服务对象类型：</w:t>
      </w:r>
      <w:r>
        <w:rPr>
          <w:rFonts w:ascii="方正仿宋_GBK" w:hAnsi="方正仿宋_GBK" w:eastAsia="方正仿宋_GBK" w:cs="方正仿宋_GBK"/>
          <w:sz w:val="28"/>
          <w:szCs w:val="28"/>
          <w:highlight w:val="none"/>
        </w:rPr>
        <w:t>社会组织法人</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2.是否为涉企许可事项：</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3.涉企经营许可事项名称：</w:t>
      </w:r>
      <w:r>
        <w:rPr>
          <w:rFonts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4.许可证件名称：</w:t>
      </w:r>
      <w:r>
        <w:rPr>
          <w:rFonts w:ascii="方正仿宋_GBK" w:hAnsi="方正仿宋_GBK" w:eastAsia="方正仿宋_GBK" w:cs="方正仿宋_GBK"/>
          <w:sz w:val="28"/>
          <w:szCs w:val="28"/>
          <w:highlight w:val="none"/>
        </w:rPr>
        <w:t>无</w:t>
      </w:r>
    </w:p>
    <w:p>
      <w:pPr>
        <w:spacing w:line="540" w:lineRule="exact"/>
        <w:ind w:firstLine="562" w:firstLineChars="200"/>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5.改革方式：</w:t>
      </w:r>
    </w:p>
    <w:p>
      <w:pPr>
        <w:spacing w:line="540" w:lineRule="exact"/>
        <w:ind w:firstLine="560" w:firstLineChars="200"/>
        <w:rPr>
          <w:rFonts w:ascii="Times New Roman" w:hAnsi="Times New Roman" w:eastAsia="仿宋GB2312"/>
          <w:sz w:val="28"/>
          <w:szCs w:val="28"/>
          <w:highlight w:val="none"/>
        </w:rPr>
      </w:pPr>
      <w:r>
        <w:rPr>
          <w:rFonts w:hint="eastAsia" w:ascii="Times New Roman" w:hAnsi="Times New Roman" w:eastAsia="仿宋GB2312"/>
          <w:sz w:val="28"/>
          <w:szCs w:val="28"/>
          <w:highlight w:val="none"/>
        </w:rPr>
        <w:t>压减法定审批时限</w:t>
      </w:r>
    </w:p>
    <w:p>
      <w:pPr>
        <w:spacing w:line="540" w:lineRule="exact"/>
        <w:ind w:firstLine="562" w:firstLineChars="200"/>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6.具体改革举措</w:t>
      </w:r>
    </w:p>
    <w:p>
      <w:pPr>
        <w:spacing w:line="540" w:lineRule="exact"/>
        <w:ind w:firstLine="560" w:firstLineChars="200"/>
        <w:rPr>
          <w:rFonts w:ascii="Times New Roman" w:hAnsi="Times New Roman" w:eastAsia="仿宋GB2312"/>
          <w:sz w:val="28"/>
          <w:szCs w:val="28"/>
          <w:highlight w:val="none"/>
        </w:rPr>
      </w:pPr>
      <w:r>
        <w:rPr>
          <w:rFonts w:hint="eastAsia" w:ascii="Times New Roman" w:hAnsi="Times New Roman" w:eastAsia="仿宋GB2312"/>
          <w:sz w:val="28"/>
          <w:szCs w:val="28"/>
          <w:highlight w:val="none"/>
        </w:rPr>
        <w:t>将法定审批时限由20个工作日压减至</w:t>
      </w:r>
      <w:r>
        <w:rPr>
          <w:rFonts w:hint="eastAsia" w:ascii="Times New Roman" w:hAnsi="Times New Roman" w:eastAsia="仿宋GB2312"/>
          <w:sz w:val="28"/>
          <w:szCs w:val="28"/>
          <w:highlight w:val="none"/>
          <w:lang w:val="en-US" w:eastAsia="zh-CN"/>
        </w:rPr>
        <w:t>2</w:t>
      </w:r>
      <w:r>
        <w:rPr>
          <w:rFonts w:hint="eastAsia" w:ascii="Times New Roman" w:hAnsi="Times New Roman" w:eastAsia="仿宋GB2312"/>
          <w:sz w:val="28"/>
          <w:szCs w:val="28"/>
          <w:highlight w:val="none"/>
        </w:rPr>
        <w:t>个工作日</w:t>
      </w:r>
    </w:p>
    <w:p>
      <w:pPr>
        <w:spacing w:line="540" w:lineRule="exact"/>
        <w:ind w:firstLine="562" w:firstLineChars="200"/>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7.加强事中事后监管措施</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1.慈善组织获得公开募捐资格后，如果不再符合申请公开募捐资格的条件或者连续六个月不开展公开募捐活动，由</w:t>
      </w:r>
      <w:r>
        <w:rPr>
          <w:rFonts w:hint="eastAsia" w:ascii="方正仿宋_GBK" w:hAnsi="方正仿宋_GBK" w:eastAsia="方正仿宋_GBK" w:cs="方正仿宋_GBK"/>
          <w:sz w:val="28"/>
          <w:szCs w:val="28"/>
          <w:highlight w:val="none"/>
          <w:lang w:eastAsia="zh-CN"/>
        </w:rPr>
        <w:t>区级</w:t>
      </w:r>
      <w:r>
        <w:rPr>
          <w:rFonts w:ascii="方正仿宋_GBK" w:hAnsi="方正仿宋_GBK" w:eastAsia="方正仿宋_GBK" w:cs="方正仿宋_GBK"/>
          <w:sz w:val="28"/>
          <w:szCs w:val="28"/>
          <w:highlight w:val="none"/>
        </w:rPr>
        <w:t>民政部门纳入活动异常名录并向社会公告；</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2.具有公开募捐资格的慈善组织开展公开募捐活动，应当依法制定募捐方案</w:t>
      </w:r>
      <w:r>
        <w:rPr>
          <w:rFonts w:hint="eastAsia" w:ascii="方正仿宋_GBK" w:hAnsi="方正仿宋_GBK" w:eastAsia="方正仿宋_GBK" w:cs="方正仿宋_GBK"/>
          <w:sz w:val="28"/>
          <w:szCs w:val="28"/>
          <w:highlight w:val="none"/>
        </w:rPr>
        <w:t>（</w:t>
      </w:r>
      <w:r>
        <w:rPr>
          <w:rFonts w:ascii="方正仿宋_GBK" w:hAnsi="方正仿宋_GBK" w:eastAsia="方正仿宋_GBK" w:cs="方正仿宋_GBK"/>
          <w:sz w:val="28"/>
          <w:szCs w:val="28"/>
          <w:highlight w:val="none"/>
        </w:rPr>
        <w:t>募捐方案包括募捐目的、起止时间和地域、活动负责人姓名和办公地址、接受捐赠方式、银行账户、受益人、募得款物用途、募捐成本、剩余财产的处理等），并在开展公开募捐活动的十日前将募捐方案报送</w:t>
      </w:r>
      <w:r>
        <w:rPr>
          <w:rFonts w:hint="eastAsia" w:ascii="方正仿宋_GBK" w:hAnsi="方正仿宋_GBK" w:eastAsia="方正仿宋_GBK" w:cs="方正仿宋_GBK"/>
          <w:sz w:val="28"/>
          <w:szCs w:val="28"/>
          <w:highlight w:val="none"/>
          <w:lang w:eastAsia="zh-CN"/>
        </w:rPr>
        <w:t>区级</w:t>
      </w:r>
      <w:r>
        <w:rPr>
          <w:rFonts w:ascii="方正仿宋_GBK" w:hAnsi="方正仿宋_GBK" w:eastAsia="方正仿宋_GBK" w:cs="方正仿宋_GBK"/>
          <w:sz w:val="28"/>
          <w:szCs w:val="28"/>
          <w:highlight w:val="none"/>
        </w:rPr>
        <w:t>民政部门备案。材料齐备的，</w:t>
      </w:r>
      <w:r>
        <w:rPr>
          <w:rFonts w:hint="eastAsia" w:ascii="方正仿宋_GBK" w:hAnsi="方正仿宋_GBK" w:eastAsia="方正仿宋_GBK" w:cs="方正仿宋_GBK"/>
          <w:sz w:val="28"/>
          <w:szCs w:val="28"/>
          <w:highlight w:val="none"/>
          <w:lang w:eastAsia="zh-CN"/>
        </w:rPr>
        <w:t>区级</w:t>
      </w:r>
      <w:r>
        <w:rPr>
          <w:rFonts w:ascii="方正仿宋_GBK" w:hAnsi="方正仿宋_GBK" w:eastAsia="方正仿宋_GBK" w:cs="方正仿宋_GBK"/>
          <w:sz w:val="28"/>
          <w:szCs w:val="28"/>
          <w:highlight w:val="none"/>
        </w:rPr>
        <w:t>民政部门即时受理，对予以备案的向社会公开;对募捐方案内容不齐备的，即时告知慈善组织，慈善组织在十日内向</w:t>
      </w:r>
      <w:r>
        <w:rPr>
          <w:rFonts w:hint="eastAsia" w:ascii="方正仿宋_GBK" w:hAnsi="方正仿宋_GBK" w:eastAsia="方正仿宋_GBK" w:cs="方正仿宋_GBK"/>
          <w:sz w:val="28"/>
          <w:szCs w:val="28"/>
          <w:highlight w:val="none"/>
          <w:lang w:eastAsia="zh-CN"/>
        </w:rPr>
        <w:t>区级</w:t>
      </w:r>
      <w:r>
        <w:rPr>
          <w:rFonts w:ascii="方正仿宋_GBK" w:hAnsi="方正仿宋_GBK" w:eastAsia="方正仿宋_GBK" w:cs="方正仿宋_GBK"/>
          <w:sz w:val="28"/>
          <w:szCs w:val="28"/>
          <w:highlight w:val="none"/>
        </w:rPr>
        <w:t>民政部门补正。</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　　五、申请材料</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1.申请材料名称</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（1）申请书，包括本组织符合《慈善组织公开募捐管理办法》（民政部令第58号）第五条各项条件的具体说明和书面承诺；</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（2）注册会计师出具的申请前二年的财务审计报告，包括年度慈善活动支出和年度管理费用的专项审计；</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（3）理事会关于申请公开募捐资格的会议纪要。</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有业务主管单位的慈善组织，还应当提交经业务主管单位同意的证明材料。</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评估等级在4A及以上的慈善组织免于提交第一款第二项、第三项规定的材料。</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规定申请材料的依据</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《慈善组织公开募捐管理办法》第六条 慈善组织申请公开募捐资格，应当向其登记的民政部门提交下列材料：</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（一）申请书，包括本组织符合第五条各项条件的具体说明和书面承诺；</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（二）注册会计师出具的申请前二年的财务审计报告，包括年度慈善活动支出和年度管理费用的专项审计；</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（三）理事会关于申请公开募捐资格的会议纪要。</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有业务主管单位的慈善组织，还应当提交经业务主管单位同意的证明材料。</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评估等级在4A及以上的慈善组织免于提交第一款第二项、第三项规定的材料。</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　　六、中介服务</w:t>
      </w:r>
    </w:p>
    <w:p>
      <w:pPr>
        <w:numPr>
          <w:ilvl w:val="0"/>
          <w:numId w:val="1"/>
        </w:numPr>
        <w:spacing w:line="600" w:lineRule="exact"/>
        <w:ind w:firstLine="562" w:firstLineChars="200"/>
        <w:rPr>
          <w:rFonts w:ascii="方正仿宋_GBK" w:hAnsi="方正仿宋_GBK" w:eastAsia="方正仿宋_GBK" w:cs="方正仿宋_GBK"/>
          <w:sz w:val="28"/>
          <w:szCs w:val="28"/>
          <w:highlight w:val="none"/>
        </w:rPr>
      </w:pPr>
      <w:r>
        <w:rPr>
          <w:rFonts w:hint="eastAsia" w:ascii="Times New Roman" w:hAnsi="Times New Roman" w:eastAsia="仿宋GB2312"/>
          <w:b/>
          <w:bCs/>
          <w:sz w:val="28"/>
          <w:szCs w:val="28"/>
          <w:highlight w:val="none"/>
        </w:rPr>
        <w:t>有无法定中介服务事项：</w:t>
      </w:r>
      <w:r>
        <w:rPr>
          <w:rFonts w:hint="eastAsia" w:ascii="方正仿宋_GBK" w:hAnsi="方正仿宋_GBK" w:eastAsia="方正仿宋_GBK" w:cs="方正仿宋_GBK"/>
          <w:sz w:val="28"/>
          <w:szCs w:val="28"/>
          <w:highlight w:val="none"/>
        </w:rPr>
        <w:t>有</w:t>
      </w:r>
    </w:p>
    <w:p>
      <w:pPr>
        <w:spacing w:line="600" w:lineRule="exact"/>
        <w:ind w:firstLine="562" w:firstLineChars="200"/>
        <w:rPr>
          <w:rFonts w:ascii="方正仿宋_GBK" w:hAnsi="方正仿宋_GBK" w:eastAsia="方正仿宋_GBK" w:cs="方正仿宋_GBK"/>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中介服务事项名称</w:t>
      </w:r>
      <w:r>
        <w:rPr>
          <w:rFonts w:hint="eastAsia" w:ascii="Times New Roman" w:hAnsi="Times New Roman" w:eastAsia="仿宋GB2312"/>
          <w:b/>
          <w:bCs/>
          <w:sz w:val="28"/>
          <w:szCs w:val="28"/>
          <w:highlight w:val="none"/>
        </w:rPr>
        <w:t>：</w:t>
      </w:r>
      <w:r>
        <w:rPr>
          <w:rFonts w:hint="eastAsia" w:ascii="Times New Roman" w:hAnsi="Times New Roman" w:eastAsia="仿宋GB2312"/>
          <w:sz w:val="28"/>
          <w:szCs w:val="28"/>
          <w:highlight w:val="none"/>
        </w:rPr>
        <w:t>慈善组织申请公开募捐财务审计</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3.</w:t>
      </w:r>
      <w:r>
        <w:rPr>
          <w:rFonts w:ascii="Times New Roman" w:hAnsi="Times New Roman" w:eastAsia="仿宋GB2312"/>
          <w:b/>
          <w:bCs/>
          <w:sz w:val="28"/>
          <w:szCs w:val="28"/>
          <w:highlight w:val="none"/>
        </w:rPr>
        <w:t>设定中介服务事项的依据</w:t>
      </w:r>
      <w:r>
        <w:rPr>
          <w:rFonts w:hint="eastAsia" w:ascii="Times New Roman" w:hAnsi="Times New Roman" w:eastAsia="仿宋GB2312"/>
          <w:b/>
          <w:bCs/>
          <w:sz w:val="28"/>
          <w:szCs w:val="28"/>
          <w:highlight w:val="none"/>
        </w:rPr>
        <w:t>：</w:t>
      </w:r>
      <w:r>
        <w:rPr>
          <w:rFonts w:hint="eastAsia" w:ascii="Times New Roman" w:hAnsi="Times New Roman" w:eastAsia="仿宋GB2312"/>
          <w:sz w:val="28"/>
          <w:szCs w:val="28"/>
          <w:highlight w:val="none"/>
        </w:rPr>
        <w:t>《中华人民共和国慈善法》《慈善组织公开募捐管理办法》（民政部令第59号）</w:t>
      </w:r>
    </w:p>
    <w:p>
      <w:pPr>
        <w:spacing w:line="600" w:lineRule="exact"/>
        <w:ind w:firstLine="562" w:firstLineChars="200"/>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4.</w:t>
      </w:r>
      <w:r>
        <w:rPr>
          <w:rFonts w:ascii="Times New Roman" w:hAnsi="Times New Roman" w:eastAsia="仿宋GB2312"/>
          <w:b/>
          <w:bCs/>
          <w:sz w:val="28"/>
          <w:szCs w:val="28"/>
          <w:highlight w:val="none"/>
        </w:rPr>
        <w:t>提供中介服务的机构</w:t>
      </w:r>
      <w:r>
        <w:rPr>
          <w:rFonts w:hint="eastAsia" w:ascii="Times New Roman" w:hAnsi="Times New Roman" w:eastAsia="仿宋GB2312"/>
          <w:b/>
          <w:bCs/>
          <w:sz w:val="28"/>
          <w:szCs w:val="28"/>
          <w:highlight w:val="none"/>
        </w:rPr>
        <w:t>：</w:t>
      </w:r>
      <w:r>
        <w:rPr>
          <w:rFonts w:hint="eastAsia" w:ascii="Times New Roman" w:hAnsi="Times New Roman" w:eastAsia="仿宋GB2312"/>
          <w:sz w:val="28"/>
          <w:szCs w:val="28"/>
          <w:highlight w:val="none"/>
        </w:rPr>
        <w:t>具备相应资质的审计机构</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5.</w:t>
      </w:r>
      <w:r>
        <w:rPr>
          <w:rFonts w:ascii="Times New Roman" w:hAnsi="Times New Roman" w:eastAsia="仿宋GB2312"/>
          <w:b/>
          <w:bCs/>
          <w:sz w:val="28"/>
          <w:szCs w:val="28"/>
          <w:highlight w:val="none"/>
        </w:rPr>
        <w:t>中介服务事项的收费性质</w:t>
      </w:r>
      <w:r>
        <w:rPr>
          <w:rFonts w:hint="eastAsia" w:ascii="Times New Roman" w:hAnsi="Times New Roman" w:eastAsia="仿宋GB2312"/>
          <w:b/>
          <w:bCs/>
          <w:sz w:val="28"/>
          <w:szCs w:val="28"/>
          <w:highlight w:val="none"/>
        </w:rPr>
        <w:t>：</w:t>
      </w:r>
      <w:r>
        <w:rPr>
          <w:rFonts w:hint="eastAsia" w:ascii="Times New Roman" w:hAnsi="Times New Roman" w:eastAsia="仿宋GB2312"/>
          <w:sz w:val="28"/>
          <w:szCs w:val="28"/>
          <w:highlight w:val="none"/>
        </w:rPr>
        <w:t>经营服务性收费(市场调节价)</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　　七、审批程序</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1.办理行政许可的程序环节</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（1）慈善组织申请</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（2）审批机关审核</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（3）决定发给资格证书/不发给资格证书</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2.规定行政许可程序的依据</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（1）《中华人民共和国慈善法》第二十二条　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法律、行政法规规定自登记之日起可以公开募捐的基金会和社会团体，由民政部门直接发给公开募捐资格证书。</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（2）《慈善组织公开募捐管理办法》第七条 民政部门收到全部有效材料后，应当依法进行审核。</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情况复杂的，民政部门可以征求有关部门意见或者通过论证会、听证会等形式听取意见，也可以根据需要对该组织进行实地考察。</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第八条 民政部门应当自受理之日起二十日内作出决定。对符合条件的慈善组织，发给公开募捐资格证书；对不符合条件的，不发给公开募捐资格证书并书面说明理由。</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3.</w:t>
      </w:r>
      <w:r>
        <w:rPr>
          <w:rFonts w:ascii="Times New Roman" w:hAnsi="Times New Roman" w:eastAsia="仿宋GB2312"/>
          <w:b/>
          <w:bCs/>
          <w:sz w:val="28"/>
          <w:szCs w:val="28"/>
          <w:highlight w:val="none"/>
        </w:rPr>
        <w:t>是否需要现场勘验</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w:t>
      </w:r>
      <w:r>
        <w:rPr>
          <w:rFonts w:ascii="Times New Roman" w:hAnsi="Times New Roman" w:eastAsia="仿宋GB2312"/>
          <w:b/>
          <w:bCs/>
          <w:sz w:val="28"/>
          <w:szCs w:val="28"/>
          <w:highlight w:val="none"/>
        </w:rPr>
        <w:t>是否需要组织听证</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部分情况下开展</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5.</w:t>
      </w:r>
      <w:r>
        <w:rPr>
          <w:rFonts w:ascii="Times New Roman" w:hAnsi="Times New Roman" w:eastAsia="仿宋GB2312"/>
          <w:b/>
          <w:bCs/>
          <w:sz w:val="28"/>
          <w:szCs w:val="28"/>
          <w:highlight w:val="none"/>
        </w:rPr>
        <w:t>是否需要招标、拍卖、挂牌交易</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6.</w:t>
      </w:r>
      <w:r>
        <w:rPr>
          <w:rFonts w:ascii="Times New Roman" w:hAnsi="Times New Roman" w:eastAsia="仿宋GB2312"/>
          <w:b/>
          <w:bCs/>
          <w:sz w:val="28"/>
          <w:szCs w:val="28"/>
          <w:highlight w:val="none"/>
        </w:rPr>
        <w:t>是否需要检验、检测、检疫</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7.</w:t>
      </w:r>
      <w:r>
        <w:rPr>
          <w:rFonts w:ascii="Times New Roman" w:hAnsi="Times New Roman" w:eastAsia="仿宋GB2312"/>
          <w:b/>
          <w:bCs/>
          <w:sz w:val="28"/>
          <w:szCs w:val="28"/>
          <w:highlight w:val="none"/>
        </w:rPr>
        <w:t>是否需要鉴定</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8.</w:t>
      </w:r>
      <w:r>
        <w:rPr>
          <w:rFonts w:ascii="Times New Roman" w:hAnsi="Times New Roman" w:eastAsia="仿宋GB2312"/>
          <w:b/>
          <w:bCs/>
          <w:sz w:val="28"/>
          <w:szCs w:val="28"/>
          <w:highlight w:val="none"/>
        </w:rPr>
        <w:t>是否需要专家评审</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9.</w:t>
      </w:r>
      <w:r>
        <w:rPr>
          <w:rFonts w:ascii="Times New Roman" w:hAnsi="Times New Roman" w:eastAsia="仿宋GB2312"/>
          <w:b/>
          <w:bCs/>
          <w:sz w:val="28"/>
          <w:szCs w:val="28"/>
          <w:highlight w:val="none"/>
        </w:rPr>
        <w:t>是否需要向社会公示</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10.</w:t>
      </w:r>
      <w:r>
        <w:rPr>
          <w:rFonts w:ascii="Times New Roman" w:hAnsi="Times New Roman" w:eastAsia="仿宋GB2312"/>
          <w:b/>
          <w:bCs/>
          <w:sz w:val="28"/>
          <w:szCs w:val="28"/>
          <w:highlight w:val="none"/>
        </w:rPr>
        <w:t>是否实行告知承诺办理</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11.审批机关是否委托服务机构开展技术性服务：</w:t>
      </w:r>
      <w:r>
        <w:rPr>
          <w:rFonts w:hint="eastAsia" w:ascii="方正仿宋_GBK" w:hAnsi="方正仿宋_GBK" w:eastAsia="方正仿宋_GBK" w:cs="方正仿宋_GBK"/>
          <w:sz w:val="28"/>
          <w:szCs w:val="28"/>
          <w:highlight w:val="none"/>
        </w:rPr>
        <w:t>否</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　　八、受理和审批时限</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1.承诺受理时限：</w:t>
      </w:r>
      <w:r>
        <w:rPr>
          <w:rFonts w:ascii="方正仿宋_GBK" w:hAnsi="方正仿宋_GBK" w:eastAsia="方正仿宋_GBK" w:cs="方正仿宋_GBK"/>
          <w:sz w:val="28"/>
          <w:szCs w:val="28"/>
          <w:highlight w:val="none"/>
        </w:rPr>
        <w:t>当场办理</w:t>
      </w:r>
    </w:p>
    <w:p>
      <w:pPr>
        <w:spacing w:line="540" w:lineRule="exact"/>
        <w:ind w:firstLine="562" w:firstLineChars="200"/>
        <w:outlineLvl w:val="2"/>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2.法定审批时限：</w:t>
      </w:r>
      <w:r>
        <w:rPr>
          <w:rFonts w:hint="eastAsia" w:ascii="方正仿宋_GBK" w:hAnsi="方正仿宋_GBK" w:eastAsia="方正仿宋_GBK" w:cs="方正仿宋_GBK"/>
          <w:sz w:val="28"/>
          <w:szCs w:val="28"/>
          <w:highlight w:val="none"/>
        </w:rPr>
        <w:t>20个工作日</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3.规定法定审批时限依据</w:t>
      </w:r>
    </w:p>
    <w:p>
      <w:pPr>
        <w:spacing w:line="600" w:lineRule="exact"/>
        <w:ind w:firstLine="560" w:firstLineChars="200"/>
        <w:rPr>
          <w:rFonts w:ascii="Times New Roman" w:hAnsi="Times New Roman" w:eastAsia="仿宋GB2312"/>
          <w:sz w:val="32"/>
          <w:szCs w:val="32"/>
          <w:highlight w:val="none"/>
        </w:rPr>
      </w:pPr>
      <w:r>
        <w:rPr>
          <w:rFonts w:ascii="方正仿宋_GBK" w:hAnsi="方正仿宋_GBK" w:eastAsia="方正仿宋_GBK" w:cs="方正仿宋_GBK"/>
          <w:sz w:val="28"/>
          <w:szCs w:val="28"/>
          <w:highlight w:val="none"/>
        </w:rPr>
        <w:t>（1）《中华人民共和国慈善法》第二十二条　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法律、行政法规规定自登记之日起可以公开募捐的基金会和社会团体，由民政部门直接发给公开募捐资格证书。</w:t>
      </w:r>
    </w:p>
    <w:p>
      <w:pPr>
        <w:spacing w:line="600" w:lineRule="exact"/>
        <w:ind w:firstLine="560" w:firstLineChars="200"/>
        <w:rPr>
          <w:rFonts w:ascii="Times New Roman" w:hAnsi="Times New Roman" w:eastAsia="仿宋GB2312"/>
          <w:sz w:val="32"/>
          <w:szCs w:val="32"/>
          <w:highlight w:val="none"/>
        </w:rPr>
      </w:pPr>
      <w:r>
        <w:rPr>
          <w:rFonts w:ascii="方正仿宋_GBK" w:hAnsi="方正仿宋_GBK" w:eastAsia="方正仿宋_GBK" w:cs="方正仿宋_GBK"/>
          <w:sz w:val="28"/>
          <w:szCs w:val="28"/>
          <w:highlight w:val="none"/>
        </w:rPr>
        <w:t>（2）《慈善组织公开募捐管理办法》第八条 民政部门应当自受理之日起二十日内作出决定。对符合条件的慈善组织，发给公开募捐资格证书；对不符合条件的，不发给公开募捐资格证书并书面说明理由。</w:t>
      </w:r>
    </w:p>
    <w:p>
      <w:pPr>
        <w:spacing w:line="600" w:lineRule="exact"/>
        <w:ind w:firstLine="562" w:firstLineChars="200"/>
        <w:rPr>
          <w:rFonts w:ascii="方正仿宋_GBK" w:hAnsi="方正仿宋_GBK" w:eastAsia="方正仿宋_GBK" w:cs="方正仿宋_GBK"/>
          <w:sz w:val="28"/>
          <w:szCs w:val="28"/>
          <w:highlight w:val="none"/>
        </w:rPr>
      </w:pPr>
      <w:r>
        <w:rPr>
          <w:rFonts w:hint="eastAsia" w:ascii="Times New Roman" w:hAnsi="Times New Roman" w:eastAsia="仿宋GB2312"/>
          <w:b/>
          <w:bCs/>
          <w:sz w:val="28"/>
          <w:szCs w:val="28"/>
          <w:highlight w:val="none"/>
        </w:rPr>
        <w:t>4.承诺审批时限：</w:t>
      </w:r>
      <w:r>
        <w:rPr>
          <w:rFonts w:hint="eastAsia" w:ascii="方正仿宋_GBK" w:hAnsi="方正仿宋_GBK" w:eastAsia="方正仿宋_GBK" w:cs="方正仿宋_GBK"/>
          <w:sz w:val="28"/>
          <w:szCs w:val="28"/>
          <w:highlight w:val="none"/>
        </w:rPr>
        <w:t>8</w:t>
      </w:r>
      <w:r>
        <w:rPr>
          <w:rFonts w:ascii="方正仿宋_GBK" w:hAnsi="方正仿宋_GBK" w:eastAsia="方正仿宋_GBK" w:cs="方正仿宋_GBK"/>
          <w:sz w:val="28"/>
          <w:szCs w:val="28"/>
          <w:highlight w:val="none"/>
        </w:rPr>
        <w:t>个工作日</w:t>
      </w:r>
    </w:p>
    <w:p>
      <w:pPr>
        <w:spacing w:line="600" w:lineRule="exact"/>
        <w:ind w:firstLine="560" w:firstLineChars="200"/>
        <w:rPr>
          <w:rFonts w:ascii="Times New Roman" w:hAnsi="Times New Roman" w:eastAsia="仿宋GB2312"/>
          <w:sz w:val="28"/>
          <w:szCs w:val="28"/>
          <w:highlight w:val="none"/>
        </w:rPr>
      </w:pPr>
      <w:r>
        <w:rPr>
          <w:rFonts w:ascii="方正仿宋_GBK" w:hAnsi="方正仿宋_GBK" w:eastAsia="方正仿宋_GBK" w:cs="方正仿宋_GBK"/>
          <w:sz w:val="28"/>
          <w:szCs w:val="28"/>
          <w:highlight w:val="none"/>
        </w:rPr>
        <w:t>依法进行论证会、听证会或者实地考察另需时间不计算在该时限</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　　九、收费</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1.办理行政许可是否收费：</w:t>
      </w:r>
      <w:r>
        <w:rPr>
          <w:rFonts w:hint="eastAsia" w:ascii="方正仿宋_GBK" w:hAnsi="方正仿宋_GBK" w:eastAsia="方正仿宋_GBK" w:cs="方正仿宋_GBK"/>
          <w:sz w:val="28"/>
          <w:szCs w:val="28"/>
          <w:highlight w:val="none"/>
        </w:rPr>
        <w:t>否</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2.收费项目的名称、收费项目的标准、设定收费项目的依据、规定收费标准的依据</w:t>
      </w:r>
    </w:p>
    <w:p>
      <w:pPr>
        <w:spacing w:line="600" w:lineRule="exact"/>
        <w:ind w:firstLine="560" w:firstLineChars="200"/>
        <w:rPr>
          <w:rFonts w:ascii="方正仿宋_GBK" w:hAnsi="方正仿宋_GBK" w:eastAsia="方正仿宋_GBK" w:cs="方正仿宋_GBK"/>
          <w:b/>
          <w:bCs/>
          <w:sz w:val="28"/>
          <w:szCs w:val="28"/>
          <w:highlight w:val="none"/>
        </w:rPr>
      </w:pPr>
      <w:r>
        <w:rPr>
          <w:rFonts w:hint="eastAsia" w:ascii="方正仿宋_GBK" w:hAnsi="方正仿宋_GBK" w:eastAsia="方正仿宋_GBK" w:cs="方正仿宋_GBK"/>
          <w:sz w:val="28"/>
          <w:szCs w:val="28"/>
          <w:highlight w:val="none"/>
        </w:rPr>
        <w:t>无</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　　十、行政许可证件</w:t>
      </w:r>
    </w:p>
    <w:p>
      <w:pPr>
        <w:spacing w:line="540" w:lineRule="exact"/>
        <w:ind w:firstLine="562" w:firstLineChars="200"/>
        <w:outlineLvl w:val="2"/>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1.审批结果类型：</w:t>
      </w:r>
      <w:r>
        <w:rPr>
          <w:rFonts w:ascii="方正仿宋_GBK" w:hAnsi="方正仿宋_GBK" w:eastAsia="方正仿宋_GBK" w:cs="方正仿宋_GBK"/>
          <w:sz w:val="28"/>
          <w:szCs w:val="28"/>
          <w:highlight w:val="none"/>
        </w:rPr>
        <w:t>证照</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2.审批结果名称：</w:t>
      </w:r>
      <w:r>
        <w:rPr>
          <w:rFonts w:hint="eastAsia" w:ascii="方正仿宋_GBK" w:hAnsi="方正仿宋_GBK" w:eastAsia="方正仿宋_GBK" w:cs="方正仿宋_GBK"/>
          <w:sz w:val="28"/>
          <w:szCs w:val="28"/>
          <w:highlight w:val="none"/>
        </w:rPr>
        <w:t>慈善组织公开募捐资格证书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3.审批结果的有效期限：</w:t>
      </w:r>
      <w:r>
        <w:rPr>
          <w:rFonts w:hint="eastAsia" w:ascii="Times New Roman" w:hAnsi="Times New Roman" w:eastAsia="仿宋GB2312"/>
          <w:sz w:val="28"/>
          <w:szCs w:val="28"/>
          <w:highlight w:val="none"/>
        </w:rPr>
        <w:t>5年</w:t>
      </w:r>
    </w:p>
    <w:p>
      <w:pPr>
        <w:spacing w:line="540" w:lineRule="exact"/>
        <w:ind w:firstLine="562" w:firstLineChars="200"/>
        <w:outlineLvl w:val="2"/>
        <w:rPr>
          <w:rFonts w:ascii="Times New Roman" w:hAnsi="Times New Roman" w:eastAsia="仿宋GB2312"/>
          <w:sz w:val="32"/>
          <w:szCs w:val="32"/>
          <w:highlight w:val="none"/>
        </w:rPr>
      </w:pPr>
      <w:r>
        <w:rPr>
          <w:rFonts w:hint="eastAsia" w:ascii="Times New Roman" w:hAnsi="Times New Roman" w:eastAsia="仿宋GB2312"/>
          <w:b/>
          <w:bCs/>
          <w:sz w:val="28"/>
          <w:szCs w:val="28"/>
          <w:highlight w:val="none"/>
        </w:rPr>
        <w:t>4.规定审批结果有效期限的依据：</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5.是否需要办理审批结果变更手续：</w:t>
      </w:r>
      <w:r>
        <w:rPr>
          <w:rFonts w:ascii="方正仿宋_GBK" w:hAnsi="方正仿宋_GBK" w:eastAsia="方正仿宋_GBK" w:cs="方正仿宋_GBK"/>
          <w:sz w:val="28"/>
          <w:szCs w:val="28"/>
          <w:highlight w:val="none"/>
        </w:rPr>
        <w:t>否</w:t>
      </w:r>
    </w:p>
    <w:p>
      <w:pPr>
        <w:spacing w:line="540" w:lineRule="exact"/>
        <w:ind w:firstLine="562" w:firstLineChars="200"/>
        <w:outlineLvl w:val="2"/>
        <w:rPr>
          <w:rFonts w:ascii="Times New Roman" w:hAnsi="Times New Roman" w:eastAsia="仿宋GB2312"/>
          <w:sz w:val="32"/>
          <w:szCs w:val="32"/>
          <w:highlight w:val="none"/>
        </w:rPr>
      </w:pPr>
      <w:r>
        <w:rPr>
          <w:rFonts w:hint="eastAsia" w:ascii="Times New Roman" w:hAnsi="Times New Roman" w:eastAsia="仿宋GB2312"/>
          <w:b/>
          <w:bCs/>
          <w:sz w:val="28"/>
          <w:szCs w:val="28"/>
          <w:highlight w:val="none"/>
        </w:rPr>
        <w:t>6.办理审批结果变更手续的要求：</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7.是否需要办理审批结果延续手续：</w:t>
      </w:r>
      <w:r>
        <w:rPr>
          <w:rFonts w:hint="eastAsia" w:ascii="方正仿宋_GBK" w:hAnsi="方正仿宋_GBK" w:eastAsia="方正仿宋_GBK" w:cs="方正仿宋_GBK"/>
          <w:sz w:val="28"/>
          <w:szCs w:val="28"/>
          <w:highlight w:val="none"/>
        </w:rPr>
        <w:t>是</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8.办理审批结果延续手续的要求</w:t>
      </w:r>
    </w:p>
    <w:p>
      <w:pPr>
        <w:spacing w:line="600" w:lineRule="exact"/>
        <w:ind w:firstLine="560" w:firstLineChars="200"/>
        <w:rPr>
          <w:rFonts w:ascii="Times New Roman" w:hAnsi="Times New Roman" w:eastAsia="仿宋GB2312"/>
          <w:sz w:val="32"/>
          <w:szCs w:val="32"/>
          <w:highlight w:val="none"/>
        </w:rPr>
      </w:pPr>
      <w:r>
        <w:rPr>
          <w:rFonts w:hint="eastAsia" w:ascii="方正仿宋_GBK" w:hAnsi="方正仿宋_GBK" w:eastAsia="方正仿宋_GBK" w:cs="方正仿宋_GBK"/>
          <w:sz w:val="28"/>
          <w:szCs w:val="28"/>
          <w:highlight w:val="none"/>
        </w:rPr>
        <w:t>根据本县（市、区）情况确定</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9.审批结果的有效地域范围</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本县（市、区）范围内（线下募捐）</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10.规定审批结果有效地域范围的依据</w:t>
      </w:r>
    </w:p>
    <w:p>
      <w:pPr>
        <w:spacing w:line="600" w:lineRule="exact"/>
        <w:ind w:firstLine="560" w:firstLineChars="200"/>
        <w:rPr>
          <w:rFonts w:ascii="Times New Roman" w:hAnsi="Times New Roman" w:eastAsia="仿宋GB2312"/>
          <w:sz w:val="28"/>
          <w:szCs w:val="28"/>
          <w:highlight w:val="none"/>
        </w:rPr>
      </w:pPr>
      <w:r>
        <w:rPr>
          <w:rFonts w:hint="eastAsia" w:ascii="方正仿宋_GBK" w:hAnsi="方正仿宋_GBK" w:eastAsia="方正仿宋_GBK" w:cs="方正仿宋_GBK"/>
          <w:sz w:val="28"/>
          <w:szCs w:val="28"/>
          <w:highlight w:val="none"/>
        </w:rPr>
        <w:t>《中华人民共和国慈善法》第二十三条　开展公开募捐，可以采取下列方式：</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（一）在公共场所设置募捐箱；</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（二）举办面向社会公众的义演、义赛、义卖、义展、义拍、慈善晚会等；</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（三）通过广播、电视、报刊、互联网等媒体发布募捐信息；</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（四）其他公开募捐方式。</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慈善组织采取前款第一项、第二项规定的方式开展公开募捐的，应当在其登记的民政部门管辖区域内进行，确有必要在其登记的民政部门管辖区域外进行的，应当报其开展募捐活动所在地的</w:t>
      </w:r>
      <w:r>
        <w:rPr>
          <w:rFonts w:hint="eastAsia" w:ascii="方正仿宋_GBK" w:hAnsi="方正仿宋_GBK" w:eastAsia="方正仿宋_GBK" w:cs="方正仿宋_GBK"/>
          <w:sz w:val="28"/>
          <w:szCs w:val="28"/>
          <w:highlight w:val="none"/>
          <w:lang w:eastAsia="zh-CN"/>
        </w:rPr>
        <w:t>区级</w:t>
      </w:r>
      <w:r>
        <w:rPr>
          <w:rFonts w:hint="eastAsia" w:ascii="方正仿宋_GBK" w:hAnsi="方正仿宋_GBK" w:eastAsia="方正仿宋_GBK" w:cs="方正仿宋_GBK"/>
          <w:sz w:val="28"/>
          <w:szCs w:val="28"/>
          <w:highlight w:val="none"/>
        </w:rPr>
        <w:t>以上人民政府民政部门备案。捐赠人的捐赠行为不受地域限制。</w:t>
      </w:r>
    </w:p>
    <w:p>
      <w:pPr>
        <w:spacing w:line="600" w:lineRule="exact"/>
        <w:ind w:firstLine="560" w:firstLineChars="200"/>
        <w:rPr>
          <w:rFonts w:ascii="Times New Roman" w:hAnsi="Times New Roman" w:eastAsia="仿宋GB2312"/>
          <w:sz w:val="28"/>
          <w:szCs w:val="28"/>
          <w:highlight w:val="none"/>
        </w:rPr>
      </w:pPr>
      <w:r>
        <w:rPr>
          <w:rFonts w:hint="eastAsia" w:ascii="方正仿宋_GBK" w:hAnsi="方正仿宋_GBK" w:eastAsia="方正仿宋_GBK" w:cs="方正仿宋_GBK"/>
          <w:sz w:val="28"/>
          <w:szCs w:val="28"/>
          <w:highlight w:val="none"/>
        </w:rPr>
        <w:t>慈善组织通过互联网开展公开募捐的，应当在国务院民政部门统一或者指定的慈善信息平台发布募捐信息，并可以同时在其网站发布募捐信息。</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　　十一、行政许可数量限制</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1.有无行政许可数量限制：</w:t>
      </w:r>
      <w:r>
        <w:rPr>
          <w:rFonts w:hint="eastAsia" w:ascii="方正仿宋_GBK" w:hAnsi="方正仿宋_GBK" w:eastAsia="方正仿宋_GBK" w:cs="方正仿宋_GBK"/>
          <w:sz w:val="28"/>
          <w:szCs w:val="28"/>
          <w:highlight w:val="none"/>
        </w:rPr>
        <w:t>无</w:t>
      </w:r>
    </w:p>
    <w:p>
      <w:pPr>
        <w:spacing w:line="540" w:lineRule="exact"/>
        <w:ind w:firstLine="562" w:firstLineChars="200"/>
        <w:outlineLvl w:val="2"/>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2.公布数量限制的方式：</w:t>
      </w:r>
      <w:r>
        <w:rPr>
          <w:rFonts w:hint="eastAsia" w:ascii="方正仿宋_GBK" w:hAnsi="方正仿宋_GBK" w:eastAsia="方正仿宋_GBK" w:cs="方正仿宋_GBK"/>
          <w:sz w:val="28"/>
          <w:szCs w:val="28"/>
          <w:highlight w:val="none"/>
        </w:rPr>
        <w:t>无</w:t>
      </w:r>
    </w:p>
    <w:p>
      <w:pPr>
        <w:spacing w:line="540" w:lineRule="exact"/>
        <w:ind w:firstLine="562" w:firstLineChars="200"/>
        <w:outlineLvl w:val="2"/>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3.公布数量限制的周期：</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4.在数量限制条件下实施行政许可的方式：</w:t>
      </w:r>
      <w:r>
        <w:rPr>
          <w:rFonts w:hint="eastAsia" w:ascii="方正仿宋_GBK" w:hAnsi="方正仿宋_GBK" w:eastAsia="方正仿宋_GBK" w:cs="方正仿宋_GBK"/>
          <w:sz w:val="28"/>
          <w:szCs w:val="28"/>
          <w:highlight w:val="none"/>
        </w:rPr>
        <w:t>无</w:t>
      </w:r>
    </w:p>
    <w:p>
      <w:pPr>
        <w:spacing w:line="600" w:lineRule="exact"/>
        <w:ind w:firstLine="562" w:firstLineChars="200"/>
        <w:jc w:val="left"/>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5.规定在数量限制条件下实施行政许可方式的依据</w:t>
      </w:r>
    </w:p>
    <w:p>
      <w:pPr>
        <w:spacing w:line="600" w:lineRule="exact"/>
        <w:ind w:firstLine="560" w:firstLineChars="200"/>
        <w:jc w:val="left"/>
        <w:rPr>
          <w:rFonts w:ascii="Times New Roman" w:hAnsi="Times New Roman" w:eastAsia="仿宋GB2312"/>
          <w:sz w:val="28"/>
          <w:szCs w:val="28"/>
          <w:highlight w:val="none"/>
        </w:rPr>
      </w:pPr>
      <w:r>
        <w:rPr>
          <w:rFonts w:hint="eastAsia" w:ascii="方正仿宋_GBK" w:hAnsi="方正仿宋_GBK" w:eastAsia="方正仿宋_GBK" w:cs="方正仿宋_GBK"/>
          <w:sz w:val="28"/>
          <w:szCs w:val="28"/>
          <w:highlight w:val="none"/>
        </w:rPr>
        <w:t>无</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　　十二、行政许可后年检</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1.有无年检要求：</w:t>
      </w:r>
      <w:r>
        <w:rPr>
          <w:rFonts w:hint="eastAsia" w:ascii="方正仿宋_GBK" w:hAnsi="方正仿宋_GBK" w:eastAsia="方正仿宋_GBK" w:cs="方正仿宋_GBK"/>
          <w:sz w:val="28"/>
          <w:szCs w:val="28"/>
          <w:highlight w:val="none"/>
        </w:rPr>
        <w:t>无</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2.设定年检要求的依据</w:t>
      </w:r>
    </w:p>
    <w:p>
      <w:pPr>
        <w:spacing w:line="540" w:lineRule="exact"/>
        <w:ind w:firstLine="560" w:firstLineChars="200"/>
        <w:outlineLvl w:val="2"/>
        <w:rPr>
          <w:rFonts w:ascii="Times New Roman" w:hAnsi="Times New Roman" w:eastAsia="仿宋GB2312"/>
          <w:sz w:val="28"/>
          <w:szCs w:val="28"/>
          <w:highlight w:val="none"/>
        </w:rPr>
      </w:pPr>
      <w:r>
        <w:rPr>
          <w:rFonts w:hint="eastAsia" w:ascii="方正仿宋_GBK" w:hAnsi="方正仿宋_GBK" w:eastAsia="方正仿宋_GBK" w:cs="方正仿宋_GBK"/>
          <w:sz w:val="28"/>
          <w:szCs w:val="28"/>
          <w:highlight w:val="none"/>
        </w:rPr>
        <w:t>无</w:t>
      </w:r>
    </w:p>
    <w:p>
      <w:pPr>
        <w:spacing w:line="540" w:lineRule="exact"/>
        <w:ind w:firstLine="562" w:firstLineChars="200"/>
        <w:outlineLvl w:val="2"/>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3.年检周期：</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4.年检是否要求报送材料：</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5.年检报送材料名称：</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6.年检是否收费：</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7.年检收费项目的名称、年检收费项目的标准、设定年检收费项目的依据、规定年检项目收费标准的依据</w:t>
      </w:r>
    </w:p>
    <w:p>
      <w:pPr>
        <w:spacing w:line="600" w:lineRule="exact"/>
        <w:ind w:firstLine="560" w:firstLineChars="200"/>
        <w:rPr>
          <w:rFonts w:ascii="Times New Roman" w:hAnsi="Times New Roman" w:eastAsia="仿宋GB2312"/>
          <w:sz w:val="28"/>
          <w:szCs w:val="28"/>
          <w:highlight w:val="none"/>
        </w:rPr>
      </w:pPr>
      <w:r>
        <w:rPr>
          <w:rFonts w:hint="eastAsia" w:ascii="方正仿宋_GBK" w:hAnsi="方正仿宋_GBK" w:eastAsia="方正仿宋_GBK" w:cs="方正仿宋_GBK"/>
          <w:sz w:val="28"/>
          <w:szCs w:val="28"/>
          <w:highlight w:val="none"/>
        </w:rPr>
        <w:t>无</w:t>
      </w:r>
    </w:p>
    <w:p>
      <w:pPr>
        <w:spacing w:line="540" w:lineRule="exact"/>
        <w:ind w:firstLine="562" w:firstLineChars="200"/>
        <w:outlineLvl w:val="2"/>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8.通过年检的证明或者标志：</w:t>
      </w:r>
      <w:r>
        <w:rPr>
          <w:rFonts w:hint="eastAsia" w:ascii="方正仿宋_GBK" w:hAnsi="方正仿宋_GBK" w:eastAsia="方正仿宋_GBK" w:cs="方正仿宋_GBK"/>
          <w:sz w:val="28"/>
          <w:szCs w:val="28"/>
          <w:highlight w:val="none"/>
        </w:rPr>
        <w:t>无</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　　十三、行政许可后年报</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w:t>
      </w:r>
      <w:r>
        <w:rPr>
          <w:rFonts w:ascii="Times New Roman" w:hAnsi="Times New Roman" w:eastAsia="仿宋GB2312"/>
          <w:b/>
          <w:bCs/>
          <w:sz w:val="28"/>
          <w:szCs w:val="28"/>
          <w:highlight w:val="none"/>
        </w:rPr>
        <w:t>有无年报要求</w:t>
      </w:r>
      <w:r>
        <w:rPr>
          <w:rFonts w:hint="eastAsia" w:ascii="Times New Roman" w:hAnsi="Times New Roman" w:eastAsia="仿宋GB2312"/>
          <w:b/>
          <w:bCs/>
          <w:sz w:val="28"/>
          <w:szCs w:val="28"/>
          <w:highlight w:val="none"/>
        </w:rPr>
        <w:t>：</w:t>
      </w:r>
      <w:r>
        <w:rPr>
          <w:rFonts w:hint="eastAsia" w:ascii="方正仿宋_GBK" w:hAnsi="方正仿宋_GBK" w:eastAsia="方正仿宋_GBK" w:cs="方正仿宋_GBK"/>
          <w:sz w:val="28"/>
          <w:szCs w:val="28"/>
          <w:highlight w:val="none"/>
        </w:rPr>
        <w:t>有</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年报报送材料名称</w:t>
      </w:r>
      <w:r>
        <w:rPr>
          <w:rFonts w:hint="eastAsia" w:ascii="Times New Roman" w:hAnsi="Times New Roman" w:eastAsia="仿宋GB2312"/>
          <w:b/>
          <w:bCs/>
          <w:sz w:val="28"/>
          <w:szCs w:val="28"/>
          <w:highlight w:val="none"/>
        </w:rPr>
        <w:t>：</w:t>
      </w:r>
      <w:r>
        <w:rPr>
          <w:rFonts w:hint="eastAsia" w:ascii="方正仿宋_GBK" w:hAnsi="方正仿宋_GBK" w:eastAsia="方正仿宋_GBK" w:cs="方正仿宋_GBK"/>
          <w:sz w:val="28"/>
          <w:szCs w:val="28"/>
          <w:highlight w:val="none"/>
        </w:rPr>
        <w:t>年度工作报告和财务会计报告</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3.</w:t>
      </w:r>
      <w:r>
        <w:rPr>
          <w:rFonts w:ascii="Times New Roman" w:hAnsi="Times New Roman" w:eastAsia="仿宋GB2312"/>
          <w:b/>
          <w:bCs/>
          <w:sz w:val="28"/>
          <w:szCs w:val="28"/>
          <w:highlight w:val="none"/>
        </w:rPr>
        <w:t>设定年报要求的依据</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（1）《中华人民共和国慈善法》第十三条　慈善组织应当每年向其登记的民政部门报送年度工作报告和财务会计报告。报告应当包括年度开展募捐和接受捐赠情况、慈善财产的管理使用情况、慈善项目实施情况以及慈善组织工作人员的工资福利情况。 </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第七十二条　慈善组织应当向社会公开组织章程和决策、执行、监督机构成员信息以及国务院民政部门要求公开的其他信息。上述信息有重大变更的，慈善组织应当及时向社会公开。</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慈善组织应当每年向社会公开其年度工作报告和财务会计报告。具有公开募捐资格的慈善组织的财务会计报告须经审计。</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第七十三条　具有公开募捐资格的慈善组织应当定期向社会公开其募捐情况和慈善项目实施情况。</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公开募捐周期超过六个月的，至少每三个月公开一次募捐情况，公开募捐活动结束后三个月内应当全面公开募捐情况。</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慈善项目实施周期超过六个月的，至少每三个月公开一次项目实施情况，项目结束后三个月内应当全面公开项目实施情况和募得款物使用情况。</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w:t>
      </w:r>
      <w:r>
        <w:rPr>
          <w:rFonts w:ascii="Times New Roman" w:hAnsi="Times New Roman" w:eastAsia="仿宋GB2312"/>
          <w:b/>
          <w:bCs/>
          <w:sz w:val="28"/>
          <w:szCs w:val="28"/>
          <w:highlight w:val="none"/>
        </w:rPr>
        <w:t>年报周期</w:t>
      </w:r>
      <w:r>
        <w:rPr>
          <w:rFonts w:hint="eastAsia" w:ascii="Times New Roman" w:hAnsi="Times New Roman" w:eastAsia="仿宋GB2312"/>
          <w:b/>
          <w:bCs/>
          <w:sz w:val="28"/>
          <w:szCs w:val="28"/>
          <w:highlight w:val="none"/>
        </w:rPr>
        <w:t>：</w:t>
      </w:r>
      <w:r>
        <w:rPr>
          <w:rFonts w:hint="eastAsia" w:ascii="方正仿宋_GBK" w:hAnsi="方正仿宋_GBK" w:eastAsia="方正仿宋_GBK" w:cs="方正仿宋_GBK"/>
          <w:sz w:val="28"/>
          <w:szCs w:val="28"/>
          <w:highlight w:val="none"/>
        </w:rPr>
        <w:t>1年</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　　十四、监管主体</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区级</w:t>
      </w:r>
      <w:r>
        <w:rPr>
          <w:rFonts w:hint="eastAsia" w:ascii="方正仿宋_GBK" w:hAnsi="方正仿宋_GBK" w:eastAsia="方正仿宋_GBK" w:cs="方正仿宋_GBK"/>
          <w:sz w:val="28"/>
          <w:szCs w:val="28"/>
          <w:highlight w:val="none"/>
        </w:rPr>
        <w:t>民政部门</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　　十五、备注</w:t>
      </w:r>
    </w:p>
    <w:p>
      <w:pPr>
        <w:pStyle w:val="3"/>
        <w:ind w:firstLine="640"/>
        <w:rPr>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8B2DD2"/>
    <w:multiLevelType w:val="singleLevel"/>
    <w:tmpl w:val="7C8B2DD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1Mzc1ODMwNjE1ZWU5YmZlZjIxNzFkOTVkYTdlMDQifQ=="/>
  </w:docVars>
  <w:rsids>
    <w:rsidRoot w:val="0EA37C8C"/>
    <w:rsid w:val="00262366"/>
    <w:rsid w:val="003F40B6"/>
    <w:rsid w:val="00547B86"/>
    <w:rsid w:val="007E7411"/>
    <w:rsid w:val="008126EF"/>
    <w:rsid w:val="00913E1F"/>
    <w:rsid w:val="009617BB"/>
    <w:rsid w:val="009917E6"/>
    <w:rsid w:val="00A14699"/>
    <w:rsid w:val="00B24A50"/>
    <w:rsid w:val="00CE5C08"/>
    <w:rsid w:val="00E96399"/>
    <w:rsid w:val="01060113"/>
    <w:rsid w:val="0EA37C8C"/>
    <w:rsid w:val="24782C05"/>
    <w:rsid w:val="5DF83E19"/>
    <w:rsid w:val="65A6533C"/>
    <w:rsid w:val="75B75F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640" w:lineRule="exact"/>
    </w:pPr>
    <w:rPr>
      <w:rFonts w:ascii="Arial" w:hAnsi="Arial" w:eastAsia="仿宋"/>
    </w:rPr>
  </w:style>
  <w:style w:type="paragraph" w:styleId="3">
    <w:name w:val="Normal Indent"/>
    <w:basedOn w:val="1"/>
    <w:next w:val="1"/>
    <w:qFormat/>
    <w:uiPriority w:val="0"/>
    <w:pPr>
      <w:ind w:firstLine="420" w:firstLineChars="200"/>
    </w:pPr>
    <w:rPr>
      <w:rFonts w:eastAsia="仿宋"/>
      <w:sz w:val="32"/>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页眉 字符"/>
    <w:basedOn w:val="8"/>
    <w:link w:val="5"/>
    <w:qFormat/>
    <w:uiPriority w:val="0"/>
    <w:rPr>
      <w:rFonts w:ascii="Calibri" w:hAnsi="Calibri"/>
      <w:kern w:val="2"/>
      <w:sz w:val="18"/>
      <w:szCs w:val="18"/>
    </w:rPr>
  </w:style>
  <w:style w:type="character" w:customStyle="1" w:styleId="10">
    <w:name w:val="页脚 字符"/>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昆明市直属党政机关单位</Company>
  <Pages>23</Pages>
  <Words>1468</Words>
  <Characters>8368</Characters>
  <Lines>69</Lines>
  <Paragraphs>19</Paragraphs>
  <TotalTime>1</TotalTime>
  <ScaleCrop>false</ScaleCrop>
  <LinksUpToDate>false</LinksUpToDate>
  <CharactersWithSpaces>9817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2023-12-04T08:14:00Z</dcterms:created>
  <dc:creator>Administrator</dc:creator>
  <cp:lastModifiedBy>Administrator</cp:lastModifiedBy>
  <dcterms:modified xsi:type="dcterms:W3CDTF">2023-12-22T07:29:48Z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FCDAD26147314F9AA222A137E8FF9A73</vt:lpwstr>
  </property>
</Properties>
</file>