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6A372" w14:textId="77777777" w:rsidR="00000000" w:rsidRDefault="00000000">
      <w:pPr>
        <w:framePr w:w="9914" w:hSpace="181" w:wrap="around" w:vAnchor="page" w:hAnchor="page" w:x="1223" w:y="6623"/>
        <w:adjustRightInd w:val="0"/>
        <w:snapToGrid w:val="0"/>
        <w:spacing w:line="760" w:lineRule="exact"/>
        <w:jc w:val="center"/>
        <w:rPr>
          <w:rFonts w:ascii="方正小标宋简体" w:eastAsia="方正小标宋简体" w:hint="eastAsia"/>
          <w:sz w:val="52"/>
          <w:szCs w:val="52"/>
        </w:rPr>
      </w:pPr>
      <w:r>
        <w:rPr>
          <w:rFonts w:ascii="方正小标宋简体" w:eastAsia="方正小标宋简体" w:hint="eastAsia"/>
          <w:sz w:val="52"/>
          <w:szCs w:val="52"/>
        </w:rPr>
        <w:t>昆明市水电气网等市政公用外线接入工程--市政设施建设类审批操作手册</w:t>
      </w:r>
    </w:p>
    <w:p w14:paraId="3E591A57" w14:textId="77777777" w:rsidR="00000000" w:rsidRDefault="00000000">
      <w:pPr>
        <w:rPr>
          <w:rFonts w:hint="eastAsia"/>
          <w:sz w:val="44"/>
          <w:szCs w:val="44"/>
        </w:rPr>
      </w:pPr>
    </w:p>
    <w:p w14:paraId="7B5451D8" w14:textId="77777777" w:rsidR="00000000" w:rsidRDefault="00000000">
      <w:pPr>
        <w:rPr>
          <w:sz w:val="44"/>
          <w:szCs w:val="44"/>
        </w:rPr>
      </w:pPr>
      <w:r>
        <w:rPr>
          <w:sz w:val="44"/>
          <w:szCs w:val="44"/>
        </w:rPr>
        <w:pict w14:anchorId="540F8802">
          <v:shapetype id="_x0000_t202" coordsize="21600,21600" o:spt="202" path="m,l,21600r21600,l21600,xe">
            <v:stroke joinstyle="miter"/>
            <v:path gradientshapeok="t" o:connecttype="rect"/>
          </v:shapetype>
          <v:shape id="文本框 2" o:spid="_x0000_s2050" type="#_x0000_t202" style="position:absolute;left:0;text-align:left;margin-left:284.3pt;margin-top:5.9pt;width:170.65pt;height:31.2pt;z-index:1;mso-wrap-style:square" stroked="f">
            <v:textbox>
              <w:txbxContent>
                <w:p w14:paraId="543FEB90" w14:textId="77777777" w:rsidR="00000000" w:rsidRDefault="00000000">
                  <w:pPr>
                    <w:rPr>
                      <w:rFonts w:ascii="Times New Roman" w:eastAsia="黑体" w:hAnsi="Times New Roman"/>
                      <w:spacing w:val="-6"/>
                      <w:sz w:val="36"/>
                      <w:szCs w:val="36"/>
                    </w:rPr>
                  </w:pPr>
                </w:p>
              </w:txbxContent>
            </v:textbox>
          </v:shape>
        </w:pict>
      </w:r>
    </w:p>
    <w:p w14:paraId="6CD4CE4B" w14:textId="77777777" w:rsidR="00000000" w:rsidRDefault="00000000">
      <w:pPr>
        <w:rPr>
          <w:sz w:val="44"/>
          <w:szCs w:val="44"/>
        </w:rPr>
      </w:pPr>
    </w:p>
    <w:p w14:paraId="3AFAF2C8" w14:textId="77777777" w:rsidR="00000000" w:rsidRDefault="00000000">
      <w:pPr>
        <w:rPr>
          <w:sz w:val="44"/>
          <w:szCs w:val="44"/>
        </w:rPr>
      </w:pPr>
    </w:p>
    <w:p w14:paraId="4840ACE9" w14:textId="77777777" w:rsidR="00000000" w:rsidRDefault="00000000">
      <w:pPr>
        <w:rPr>
          <w:sz w:val="44"/>
          <w:szCs w:val="44"/>
        </w:rPr>
      </w:pPr>
    </w:p>
    <w:p w14:paraId="743640B5" w14:textId="77777777" w:rsidR="00000000" w:rsidRDefault="00000000">
      <w:pPr>
        <w:rPr>
          <w:sz w:val="44"/>
          <w:szCs w:val="44"/>
        </w:rPr>
      </w:pPr>
    </w:p>
    <w:p w14:paraId="605D4654" w14:textId="77777777" w:rsidR="00000000" w:rsidRDefault="00000000">
      <w:pPr>
        <w:rPr>
          <w:sz w:val="44"/>
          <w:szCs w:val="44"/>
        </w:rPr>
      </w:pPr>
    </w:p>
    <w:p w14:paraId="755FF7FA" w14:textId="77777777" w:rsidR="00000000" w:rsidRDefault="00000000">
      <w:pPr>
        <w:rPr>
          <w:sz w:val="44"/>
          <w:szCs w:val="44"/>
        </w:rPr>
      </w:pPr>
    </w:p>
    <w:p w14:paraId="7DB92E7F" w14:textId="77777777" w:rsidR="00000000" w:rsidRDefault="00000000">
      <w:pPr>
        <w:rPr>
          <w:sz w:val="44"/>
          <w:szCs w:val="44"/>
        </w:rPr>
      </w:pPr>
    </w:p>
    <w:p w14:paraId="4439C7EE" w14:textId="77777777" w:rsidR="00000000" w:rsidRDefault="00000000">
      <w:pPr>
        <w:rPr>
          <w:sz w:val="44"/>
          <w:szCs w:val="44"/>
        </w:rPr>
      </w:pPr>
    </w:p>
    <w:p w14:paraId="77B7D0CC" w14:textId="77777777" w:rsidR="00000000" w:rsidRDefault="00000000">
      <w:pPr>
        <w:rPr>
          <w:sz w:val="44"/>
          <w:szCs w:val="44"/>
        </w:rPr>
      </w:pPr>
    </w:p>
    <w:p w14:paraId="61D20C0E" w14:textId="77777777" w:rsidR="00000000" w:rsidRDefault="00000000">
      <w:pPr>
        <w:rPr>
          <w:sz w:val="44"/>
          <w:szCs w:val="44"/>
        </w:rPr>
      </w:pPr>
    </w:p>
    <w:p w14:paraId="52256F4B" w14:textId="77777777" w:rsidR="00000000" w:rsidRDefault="00000000">
      <w:pPr>
        <w:rPr>
          <w:rFonts w:hint="eastAsia"/>
          <w:sz w:val="44"/>
          <w:szCs w:val="44"/>
        </w:rPr>
      </w:pPr>
    </w:p>
    <w:p w14:paraId="012B73E8" w14:textId="77777777" w:rsidR="00000000" w:rsidRDefault="00000000">
      <w:pPr>
        <w:adjustRightInd w:val="0"/>
        <w:snapToGrid w:val="0"/>
        <w:spacing w:line="560" w:lineRule="exact"/>
        <w:jc w:val="center"/>
        <w:rPr>
          <w:rFonts w:ascii="黑体" w:eastAsia="黑体" w:hAnsi="黑体"/>
          <w:sz w:val="32"/>
          <w:szCs w:val="32"/>
        </w:rPr>
      </w:pPr>
      <w:r>
        <w:rPr>
          <w:rFonts w:ascii="黑体" w:eastAsia="黑体" w:hAnsi="黑体" w:hint="eastAsia"/>
          <w:sz w:val="32"/>
          <w:szCs w:val="32"/>
        </w:rPr>
        <w:t>昆明市住房和城乡建设局</w:t>
      </w:r>
    </w:p>
    <w:p w14:paraId="7B0A2EB8" w14:textId="77777777" w:rsidR="00000000" w:rsidRDefault="00000000">
      <w:pPr>
        <w:ind w:firstLineChars="900" w:firstLine="2880"/>
        <w:rPr>
          <w:rFonts w:ascii="黑体" w:eastAsia="黑体" w:hAnsi="黑体" w:hint="eastAsia"/>
          <w:sz w:val="32"/>
          <w:szCs w:val="32"/>
        </w:rPr>
      </w:pPr>
      <w:r>
        <w:rPr>
          <w:rFonts w:ascii="黑体" w:eastAsia="黑体" w:hAnsi="黑体" w:hint="eastAsia"/>
          <w:sz w:val="32"/>
          <w:szCs w:val="32"/>
        </w:rPr>
        <w:t>2022年9月5日</w:t>
      </w:r>
    </w:p>
    <w:p w14:paraId="50AF45D3" w14:textId="77777777" w:rsidR="00000000" w:rsidRDefault="00000000">
      <w:pPr>
        <w:ind w:firstLineChars="900" w:firstLine="2880"/>
        <w:rPr>
          <w:rFonts w:ascii="黑体" w:eastAsia="黑体" w:hAnsi="黑体" w:hint="eastAsia"/>
          <w:sz w:val="32"/>
          <w:szCs w:val="32"/>
        </w:rPr>
      </w:pPr>
    </w:p>
    <w:p w14:paraId="6F169421" w14:textId="77777777" w:rsidR="00000000" w:rsidRDefault="00000000">
      <w:pPr>
        <w:ind w:firstLineChars="900" w:firstLine="2880"/>
        <w:rPr>
          <w:rFonts w:ascii="黑体" w:eastAsia="黑体" w:hAnsi="黑体" w:hint="eastAsia"/>
          <w:sz w:val="32"/>
          <w:szCs w:val="32"/>
        </w:rPr>
      </w:pPr>
    </w:p>
    <w:p w14:paraId="503DA615" w14:textId="77777777" w:rsidR="00000000" w:rsidRDefault="00000000">
      <w:pPr>
        <w:ind w:firstLineChars="900" w:firstLine="2880"/>
        <w:rPr>
          <w:rFonts w:ascii="黑体" w:eastAsia="黑体" w:hAnsi="黑体" w:hint="eastAsia"/>
          <w:sz w:val="32"/>
          <w:szCs w:val="32"/>
        </w:rPr>
      </w:pPr>
    </w:p>
    <w:p w14:paraId="68194347" w14:textId="77777777" w:rsidR="00000000" w:rsidRDefault="00000000">
      <w:pPr>
        <w:ind w:firstLineChars="900" w:firstLine="2880"/>
        <w:rPr>
          <w:rFonts w:ascii="黑体" w:eastAsia="黑体" w:hAnsi="黑体" w:hint="eastAsia"/>
          <w:sz w:val="32"/>
          <w:szCs w:val="32"/>
        </w:rPr>
      </w:pPr>
    </w:p>
    <w:p w14:paraId="2C36D7DB" w14:textId="77777777" w:rsidR="00000000" w:rsidRDefault="00000000">
      <w:pPr>
        <w:spacing w:line="760" w:lineRule="exact"/>
        <w:rPr>
          <w:rFonts w:ascii="方正小标宋简体" w:eastAsia="方正小标宋简体" w:hint="eastAsia"/>
          <w:sz w:val="52"/>
          <w:szCs w:val="52"/>
        </w:rPr>
      </w:pPr>
      <w:r>
        <w:rPr>
          <w:rFonts w:ascii="方正小标宋简体" w:eastAsia="方正小标宋简体" w:hint="eastAsia"/>
          <w:sz w:val="52"/>
          <w:szCs w:val="52"/>
        </w:rPr>
        <w:lastRenderedPageBreak/>
        <w:t>昆明市水电气网等市政公用外线接入工程-市政设施建设类审批操作手册</w:t>
      </w:r>
    </w:p>
    <w:p w14:paraId="4F03B6F6" w14:textId="77777777" w:rsidR="00000000" w:rsidRDefault="00000000">
      <w:pPr>
        <w:spacing w:line="760" w:lineRule="exact"/>
        <w:rPr>
          <w:rFonts w:ascii="方正小标宋简体" w:eastAsia="方正小标宋简体" w:hint="eastAsia"/>
          <w:sz w:val="52"/>
          <w:szCs w:val="52"/>
        </w:rPr>
      </w:pPr>
    </w:p>
    <w:p w14:paraId="5C8EE35E" w14:textId="77777777" w:rsidR="00000000" w:rsidRDefault="00000000">
      <w:pPr>
        <w:ind w:left="641"/>
        <w:rPr>
          <w:rFonts w:ascii="宋体" w:hAnsi="宋体" w:cs="宋体" w:hint="eastAsia"/>
          <w:sz w:val="24"/>
        </w:rPr>
      </w:pPr>
      <w:r>
        <w:rPr>
          <w:rFonts w:ascii="黑体" w:eastAsia="黑体" w:hAnsi="黑体" w:cs="黑体" w:hint="eastAsia"/>
          <w:sz w:val="32"/>
          <w:szCs w:val="32"/>
        </w:rPr>
        <w:t>一、受理范围判断</w:t>
      </w:r>
    </w:p>
    <w:p w14:paraId="70B56B7B" w14:textId="77777777" w:rsidR="00000000" w:rsidRDefault="00000000">
      <w:pPr>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（一）水电气网等市政公用外线接入工程市政设施建设类审批与其它因需要申请市政设施建设类审批的区别</w:t>
      </w:r>
    </w:p>
    <w:p w14:paraId="7AE941D2" w14:textId="77777777" w:rsidR="00000000" w:rsidRDefault="00000000">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区别：</w:t>
      </w:r>
      <w:r>
        <w:rPr>
          <w:rFonts w:ascii="仿宋_GB2312" w:eastAsia="仿宋_GB2312" w:hAnsi="仿宋_GB2312" w:cs="仿宋_GB2312" w:hint="eastAsia"/>
          <w:sz w:val="32"/>
          <w:szCs w:val="32"/>
        </w:rPr>
        <w:t>是否有用户水电气网报装申请。</w:t>
      </w:r>
    </w:p>
    <w:p w14:paraId="618F041B" w14:textId="77777777" w:rsidR="00000000" w:rsidRDefault="00000000">
      <w:pPr>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操作：</w:t>
      </w:r>
      <w:r>
        <w:rPr>
          <w:rFonts w:ascii="仿宋_GB2312" w:eastAsia="仿宋_GB2312" w:hAnsi="仿宋_GB2312" w:cs="仿宋_GB2312" w:hint="eastAsia"/>
          <w:sz w:val="32"/>
          <w:szCs w:val="32"/>
        </w:rPr>
        <w:t>符合条件，按照昆明市水电气网等市政公用外线接入工程-市政设施建设类审批服务指南要求上传材料。不符合条件，按照正常市政设施建设类审批服务指南（后续将梳理明确）要求上传材料。</w:t>
      </w:r>
    </w:p>
    <w:p w14:paraId="469D7286" w14:textId="77777777" w:rsidR="00000000" w:rsidRDefault="00000000">
      <w:pPr>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（二）市、区两级受理权限</w:t>
      </w:r>
    </w:p>
    <w:p w14:paraId="213F5C0B" w14:textId="77777777" w:rsidR="00000000" w:rsidRDefault="00000000">
      <w:pPr>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已实际承担公共交通通行功能的城市道路，目前，均实行区一级受理审批。（下一步市管道路正式移交后，市管道路由市级审批，正式移交将会以文件形式告知审批单位）</w:t>
      </w:r>
    </w:p>
    <w:p w14:paraId="16BAD1EA" w14:textId="77777777" w:rsidR="00000000" w:rsidRDefault="00000000">
      <w:pPr>
        <w:ind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（三）未移交区级进行统一管养道路的审批权限</w:t>
      </w:r>
    </w:p>
    <w:p w14:paraId="1813AF2A" w14:textId="77777777" w:rsidR="00000000" w:rsidRDefault="00000000">
      <w:pPr>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部分项目因采用PPP模式建设，建设完成后不移交道路管理部门进行管养，或由开发商、平台公司代建，已实际建成通车，承担交通功能，但未进行移交。上述道路，市政设施建设类审批权，仍然在审批部门。通过内部征求意见时，</w:t>
      </w:r>
      <w:r>
        <w:rPr>
          <w:rFonts w:ascii="仿宋_GB2312" w:eastAsia="仿宋_GB2312" w:hAnsi="仿宋_GB2312" w:cs="仿宋_GB2312" w:hint="eastAsia"/>
          <w:sz w:val="32"/>
          <w:szCs w:val="32"/>
        </w:rPr>
        <w:lastRenderedPageBreak/>
        <w:t>发送区级道路管理行政主管部门，区级道路管理行政主管部门对接道路管理单位共同现场踏勘，统一意见，最后由道路管理行政主管部门出具意见。</w:t>
      </w:r>
    </w:p>
    <w:p w14:paraId="463397BA" w14:textId="77777777" w:rsidR="00000000" w:rsidRDefault="00000000">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注意事项：</w:t>
      </w:r>
      <w:r>
        <w:rPr>
          <w:rFonts w:ascii="仿宋_GB2312" w:eastAsia="仿宋_GB2312" w:hAnsi="仿宋_GB2312" w:cs="仿宋_GB2312" w:hint="eastAsia"/>
          <w:sz w:val="32"/>
          <w:szCs w:val="32"/>
        </w:rPr>
        <w:t>根据《城市道路管理条例》，城市道路在新建、改建完工交付使用后5年内或者大修竣工后3年内不得挖掘。确需挖掘的，应当报经市人民政府批准。由各区住建根据竣工验收备案资料在系统内进行公布，以供申请人查询，每年更新道路名单。由于水电气网外线接入工程，涉及到用户用水、用电、用气、用网，属于确需挖掘范围，因此涉及此类占用、挖掘申请时，应接件，并于现场踏勘结束，建设方案统一后，由行政审批部门上报市级主管部门（市住房城乡建设局），由市住房城乡建设局请示市人民政府，结论反馈区级审批部门，审批部门根据市政府批示结果开展后续工作。</w:t>
      </w:r>
    </w:p>
    <w:p w14:paraId="4450A09F" w14:textId="77777777" w:rsidR="00000000" w:rsidRDefault="00000000">
      <w:pPr>
        <w:numPr>
          <w:ilvl w:val="0"/>
          <w:numId w:val="1"/>
        </w:numPr>
        <w:ind w:firstLine="640"/>
        <w:rPr>
          <w:rFonts w:ascii="黑体" w:eastAsia="黑体" w:hAnsi="黑体" w:cs="黑体" w:hint="eastAsia"/>
          <w:sz w:val="32"/>
          <w:szCs w:val="32"/>
        </w:rPr>
      </w:pPr>
      <w:r>
        <w:rPr>
          <w:rFonts w:ascii="黑体" w:eastAsia="黑体" w:hAnsi="黑体" w:cs="黑体" w:hint="eastAsia"/>
          <w:sz w:val="32"/>
          <w:szCs w:val="32"/>
        </w:rPr>
        <w:t>派件、初审</w:t>
      </w:r>
    </w:p>
    <w:p w14:paraId="642EDCBC" w14:textId="77777777" w:rsidR="00000000" w:rsidRDefault="00000000">
      <w:pPr>
        <w:numPr>
          <w:ilvl w:val="0"/>
          <w:numId w:val="2"/>
        </w:numPr>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初审、发起内部征求</w:t>
      </w:r>
    </w:p>
    <w:p w14:paraId="74D7047E" w14:textId="77777777" w:rsidR="00000000"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审批部门根据报件材料判断涉及部门，通过工建系统内部征求流程，发起内部征求，并明确现场踏勘时间。</w:t>
      </w:r>
    </w:p>
    <w:p w14:paraId="77D43AB3" w14:textId="77777777" w:rsidR="00000000" w:rsidRDefault="00000000">
      <w:pPr>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注意事项：</w:t>
      </w:r>
      <w:r>
        <w:rPr>
          <w:rFonts w:ascii="仿宋_GB2312" w:eastAsia="仿宋_GB2312" w:hAnsi="仿宋_GB2312" w:cs="仿宋_GB2312" w:hint="eastAsia"/>
          <w:sz w:val="32"/>
          <w:szCs w:val="32"/>
        </w:rPr>
        <w:t>内部征求和现场踏勘常规参加单位为：城市道路主管部门、交警部门、自规部门、申请单位。涉及临时占用道路红线内绿化增加绿化主管部门；现场涉及其它既有管线，增加既有管线主管部门</w:t>
      </w:r>
    </w:p>
    <w:p w14:paraId="23DCD8A5" w14:textId="77777777" w:rsidR="00000000" w:rsidRDefault="00000000">
      <w:pPr>
        <w:numPr>
          <w:ilvl w:val="0"/>
          <w:numId w:val="2"/>
        </w:numPr>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lastRenderedPageBreak/>
        <w:t>现场踏勘</w:t>
      </w:r>
    </w:p>
    <w:p w14:paraId="6A6FEFE8" w14:textId="77777777" w:rsidR="00000000" w:rsidRDefault="00000000">
      <w:pPr>
        <w:ind w:firstLineChars="200" w:firstLine="480"/>
        <w:rPr>
          <w:rFonts w:ascii="仿宋_GB2312" w:eastAsia="仿宋_GB2312" w:hAnsi="仿宋_GB2312" w:cs="仿宋_GB2312" w:hint="eastAsia"/>
          <w:sz w:val="32"/>
          <w:szCs w:val="32"/>
        </w:rPr>
      </w:pPr>
      <w:r>
        <w:rPr>
          <w:rFonts w:ascii="宋体" w:hAnsi="宋体" w:cs="宋体" w:hint="eastAsia"/>
          <w:sz w:val="24"/>
        </w:rPr>
        <w:t xml:space="preserve">  </w:t>
      </w:r>
      <w:r>
        <w:rPr>
          <w:rFonts w:ascii="仿宋_GB2312" w:eastAsia="仿宋_GB2312" w:hAnsi="仿宋_GB2312" w:cs="仿宋_GB2312" w:hint="eastAsia"/>
          <w:sz w:val="32"/>
          <w:szCs w:val="32"/>
        </w:rPr>
        <w:t>各部门和申请人现场踏勘，共同研究方案，并签署意见，未到场，视为不进行现场勘察，不得再次提出现场勘察需求。</w:t>
      </w:r>
    </w:p>
    <w:p w14:paraId="6353796F" w14:textId="77777777" w:rsidR="00000000" w:rsidRDefault="00000000">
      <w:pPr>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注意事项：</w:t>
      </w:r>
      <w:r>
        <w:rPr>
          <w:rFonts w:ascii="仿宋_GB2312" w:eastAsia="仿宋_GB2312" w:hAnsi="仿宋_GB2312" w:cs="仿宋_GB2312" w:hint="eastAsia"/>
          <w:sz w:val="32"/>
          <w:szCs w:val="32"/>
        </w:rPr>
        <w:t>涉及新建5年、改建3年内道路优先采用顶管、托管等建设工艺，将交通干扰降低到最小。</w:t>
      </w:r>
    </w:p>
    <w:p w14:paraId="14669595" w14:textId="77777777" w:rsidR="00000000" w:rsidRDefault="00000000">
      <w:pPr>
        <w:numPr>
          <w:ilvl w:val="0"/>
          <w:numId w:val="2"/>
        </w:numPr>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相关单位出具意见</w:t>
      </w:r>
    </w:p>
    <w:p w14:paraId="3E852B14" w14:textId="77777777" w:rsidR="00000000"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道路主管部门、交警部门、自规部门、绿化主管部门出具盖章的书面意见(按照各自审批要求出具)，并上传。其他涉及管线主管部门可直接在工建系统中回复意见。</w:t>
      </w:r>
    </w:p>
    <w:p w14:paraId="15D26FB7" w14:textId="77777777" w:rsidR="00000000" w:rsidRDefault="00000000">
      <w:pPr>
        <w:ind w:firstLineChars="200" w:firstLine="643"/>
        <w:rPr>
          <w:rFonts w:ascii="仿宋_GB2312" w:eastAsia="仿宋_GB2312" w:hAnsi="仿宋_GB2312" w:cs="仿宋_GB2312" w:hint="eastAsia"/>
          <w:color w:val="0000FF"/>
          <w:sz w:val="32"/>
          <w:szCs w:val="32"/>
        </w:rPr>
      </w:pPr>
      <w:r>
        <w:rPr>
          <w:rFonts w:ascii="仿宋_GB2312" w:eastAsia="仿宋_GB2312" w:hAnsi="仿宋_GB2312" w:cs="仿宋_GB2312" w:hint="eastAsia"/>
          <w:b/>
          <w:bCs/>
          <w:sz w:val="32"/>
          <w:szCs w:val="32"/>
        </w:rPr>
        <w:t>注意事项：</w:t>
      </w:r>
      <w:r>
        <w:rPr>
          <w:rFonts w:ascii="仿宋_GB2312" w:eastAsia="仿宋_GB2312" w:hAnsi="仿宋_GB2312" w:cs="仿宋_GB2312" w:hint="eastAsia"/>
          <w:sz w:val="32"/>
          <w:szCs w:val="32"/>
        </w:rPr>
        <w:t>道路主管部门出具的意见中，需明确占道收费测算公式和缴费渠道。交警部门出具的意见中，需明确占道时限。最终收费根据测算公式和占道天数计算。申请人自行修复的，不收取挖掘修复费，仅收取占道费。</w:t>
      </w:r>
    </w:p>
    <w:p w14:paraId="451483F7" w14:textId="77777777" w:rsidR="00000000" w:rsidRDefault="00000000">
      <w:pPr>
        <w:numPr>
          <w:ilvl w:val="0"/>
          <w:numId w:val="1"/>
        </w:numPr>
        <w:ind w:firstLine="640"/>
        <w:rPr>
          <w:rFonts w:ascii="黑体" w:eastAsia="黑体" w:hAnsi="黑体" w:cs="黑体" w:hint="eastAsia"/>
          <w:sz w:val="32"/>
          <w:szCs w:val="32"/>
        </w:rPr>
      </w:pPr>
      <w:r>
        <w:rPr>
          <w:rFonts w:ascii="黑体" w:eastAsia="黑体" w:hAnsi="黑体" w:cs="黑体" w:hint="eastAsia"/>
          <w:sz w:val="32"/>
          <w:szCs w:val="32"/>
        </w:rPr>
        <w:t>审核</w:t>
      </w:r>
    </w:p>
    <w:p w14:paraId="3F177552" w14:textId="77777777" w:rsidR="00000000"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审批部门根据各部门意见，出具审核意见。涉及新建5年、改建3年内道路，由审批部门上报市住房城乡建设局，市住房城乡建设局请示市政府，审批部门根据市政府最终签批意见，出具审核意见。</w:t>
      </w:r>
    </w:p>
    <w:p w14:paraId="01FC956C" w14:textId="77777777" w:rsidR="00000000" w:rsidRDefault="00000000">
      <w:pPr>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注意事项：</w:t>
      </w:r>
      <w:r>
        <w:rPr>
          <w:rFonts w:ascii="仿宋_GB2312" w:eastAsia="仿宋_GB2312" w:hAnsi="仿宋_GB2312" w:cs="仿宋_GB2312" w:hint="eastAsia"/>
          <w:sz w:val="32"/>
          <w:szCs w:val="32"/>
        </w:rPr>
        <w:t>审批部门上报市住房城乡建设局时，需写明项目基本情况，开挖占道面积，交通组织等情况，附相关部门意见，并明确提出倾向性意见。市住房城乡建设局请示市政府时需提出倾向性意见。</w:t>
      </w:r>
    </w:p>
    <w:p w14:paraId="51FD006A" w14:textId="77777777" w:rsidR="00000000" w:rsidRDefault="00000000">
      <w:pPr>
        <w:numPr>
          <w:ilvl w:val="0"/>
          <w:numId w:val="1"/>
        </w:numPr>
        <w:ind w:firstLine="640"/>
        <w:rPr>
          <w:rFonts w:ascii="黑体" w:eastAsia="黑体" w:hAnsi="黑体" w:cs="黑体" w:hint="eastAsia"/>
          <w:sz w:val="32"/>
          <w:szCs w:val="32"/>
        </w:rPr>
      </w:pPr>
      <w:r>
        <w:rPr>
          <w:rFonts w:ascii="黑体" w:eastAsia="黑体" w:hAnsi="黑体" w:cs="黑体" w:hint="eastAsia"/>
          <w:sz w:val="32"/>
          <w:szCs w:val="32"/>
        </w:rPr>
        <w:lastRenderedPageBreak/>
        <w:t>审定</w:t>
      </w:r>
    </w:p>
    <w:p w14:paraId="7205B47B" w14:textId="77777777" w:rsidR="00000000"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根据审核意见，出具审定意见，根据交警批复天数、城市道路主管部门占道收费测算公式，出具《收费通知单》，含缴费渠道和方式，并通知申报联络人。</w:t>
      </w:r>
    </w:p>
    <w:p w14:paraId="5FE9B896" w14:textId="77777777" w:rsidR="00000000" w:rsidRDefault="00000000">
      <w:pPr>
        <w:numPr>
          <w:ilvl w:val="0"/>
          <w:numId w:val="1"/>
        </w:numPr>
        <w:ind w:firstLine="64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制证</w:t>
      </w:r>
    </w:p>
    <w:p w14:paraId="245B2D88" w14:textId="77777777" w:rsidR="00000000" w:rsidRDefault="00000000">
      <w:pPr>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按照统一格式制作《昆明市市政设施建设类行政审批许可证》见附件1。编号格式：属地+第+年+月+日+审批属性编号+市政设施建设类审批小项分类编号+当天审批序号（三位数）。</w:t>
      </w:r>
    </w:p>
    <w:p w14:paraId="58EE887B" w14:textId="77777777" w:rsidR="00000000" w:rsidRDefault="00000000">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审批属性编号为：A营商环境用水、用电、用气、用网外线工程占用、挖掘城市道路审批；B非其他市政设施建设项目临时占用、挖掘城市道路审批。</w:t>
      </w:r>
    </w:p>
    <w:p w14:paraId="51F6BADD" w14:textId="77777777" w:rsidR="00000000" w:rsidRDefault="00000000">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市政设施建设类审批小项分类编号为：A占用、挖掘城市道路审批；B依附于城市道路建设各种管线、杆线等设施审批；C城市桥梁上架设各类市政管线审批；D新建、扩建、改建工程需依附或者穿越城市市政公用设施审批；E自建设专用道路、管线与公用设施连接审批。</w:t>
      </w:r>
    </w:p>
    <w:p w14:paraId="016B8482" w14:textId="77777777" w:rsidR="00000000"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例子：五华区于2022年7月18日审批了某营商环境用水、用电、用气、用网外线工程占用、挖掘城市道路审批，属于当天审批的所有市政设施建设类审批项目的第3个。则项目编码为：五华第20220718AA003号。并同时上传《许可证》和《收费通知单》。</w:t>
      </w:r>
    </w:p>
    <w:p w14:paraId="14C72900" w14:textId="77777777" w:rsidR="00000000" w:rsidRDefault="00000000">
      <w:pPr>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lastRenderedPageBreak/>
        <w:t>注意事项：</w:t>
      </w:r>
      <w:r>
        <w:rPr>
          <w:rFonts w:ascii="仿宋_GB2312" w:eastAsia="仿宋_GB2312" w:hAnsi="仿宋_GB2312" w:cs="仿宋_GB2312" w:hint="eastAsia"/>
          <w:sz w:val="32"/>
          <w:szCs w:val="32"/>
        </w:rPr>
        <w:t>附件1仅是水电气网等市政公用外线接入工程、占用、挖掘城市道路审批许可证模板。其它市政设施建设类审批许可证模板将后续推出。</w:t>
      </w:r>
    </w:p>
    <w:p w14:paraId="377C9A33" w14:textId="77777777" w:rsidR="00000000" w:rsidRDefault="00000000">
      <w:pPr>
        <w:ind w:firstLineChars="200" w:firstLine="640"/>
        <w:rPr>
          <w:rFonts w:ascii="仿宋_GB2312" w:eastAsia="仿宋_GB2312" w:hAnsi="仿宋_GB2312" w:cs="仿宋_GB2312"/>
          <w:sz w:val="32"/>
          <w:szCs w:val="32"/>
        </w:rPr>
      </w:pPr>
    </w:p>
    <w:p w14:paraId="42347A85" w14:textId="77777777" w:rsidR="00000000" w:rsidRDefault="00000000">
      <w:pPr>
        <w:ind w:firstLineChars="200" w:firstLine="640"/>
        <w:rPr>
          <w:rFonts w:ascii="仿宋_GB2312" w:eastAsia="仿宋_GB2312" w:hAnsi="仿宋_GB2312" w:cs="仿宋_GB2312"/>
          <w:sz w:val="32"/>
          <w:szCs w:val="32"/>
        </w:rPr>
      </w:pPr>
    </w:p>
    <w:p w14:paraId="724D1655" w14:textId="77777777" w:rsidR="00000000" w:rsidRDefault="00000000">
      <w:pPr>
        <w:ind w:firstLineChars="200" w:firstLine="640"/>
        <w:rPr>
          <w:rFonts w:ascii="仿宋_GB2312" w:eastAsia="仿宋_GB2312" w:hAnsi="仿宋_GB2312" w:cs="仿宋_GB2312" w:hint="eastAsia"/>
          <w:sz w:val="32"/>
          <w:szCs w:val="32"/>
        </w:rPr>
      </w:pPr>
    </w:p>
    <w:p w14:paraId="125EA8CD" w14:textId="77777777" w:rsidR="00000000" w:rsidRDefault="00000000">
      <w:pPr>
        <w:ind w:firstLineChars="200" w:firstLine="640"/>
        <w:rPr>
          <w:rFonts w:ascii="仿宋_GB2312" w:eastAsia="仿宋_GB2312" w:hAnsi="仿宋_GB2312" w:cs="仿宋_GB2312" w:hint="eastAsia"/>
          <w:sz w:val="32"/>
          <w:szCs w:val="32"/>
        </w:rPr>
      </w:pPr>
    </w:p>
    <w:p w14:paraId="547E85EE" w14:textId="77777777" w:rsidR="00000000" w:rsidRDefault="00000000">
      <w:pPr>
        <w:ind w:firstLineChars="200" w:firstLine="640"/>
        <w:rPr>
          <w:rFonts w:ascii="仿宋_GB2312" w:eastAsia="仿宋_GB2312" w:hAnsi="仿宋_GB2312" w:cs="仿宋_GB2312"/>
          <w:sz w:val="32"/>
          <w:szCs w:val="32"/>
        </w:rPr>
      </w:pPr>
    </w:p>
    <w:p w14:paraId="14E4E3EA" w14:textId="77777777" w:rsidR="00000000" w:rsidRDefault="00000000">
      <w:pPr>
        <w:ind w:firstLineChars="200" w:firstLine="640"/>
        <w:rPr>
          <w:rFonts w:ascii="仿宋_GB2312" w:eastAsia="仿宋_GB2312" w:hAnsi="仿宋_GB2312" w:cs="仿宋_GB2312"/>
          <w:sz w:val="32"/>
          <w:szCs w:val="32"/>
        </w:rPr>
      </w:pPr>
    </w:p>
    <w:p w14:paraId="2C08436D" w14:textId="77777777" w:rsidR="00D55818" w:rsidRDefault="00D55818">
      <w:pPr>
        <w:spacing w:line="760" w:lineRule="exact"/>
        <w:ind w:left="640"/>
        <w:rPr>
          <w:rFonts w:ascii="仿宋_GB2312" w:eastAsia="仿宋_GB2312" w:hAnsi="仿宋_GB2312" w:cs="仿宋_GB2312"/>
          <w:sz w:val="32"/>
          <w:szCs w:val="32"/>
        </w:rPr>
      </w:pPr>
    </w:p>
    <w:sectPr w:rsidR="00D5581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411D7" w14:textId="77777777" w:rsidR="00D55818" w:rsidRDefault="00D55818" w:rsidP="00C95F46">
      <w:r>
        <w:separator/>
      </w:r>
    </w:p>
  </w:endnote>
  <w:endnote w:type="continuationSeparator" w:id="0">
    <w:p w14:paraId="5AE065C9" w14:textId="77777777" w:rsidR="00D55818" w:rsidRDefault="00D55818" w:rsidP="00C95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script"/>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F22B1" w14:textId="77777777" w:rsidR="00D55818" w:rsidRDefault="00D55818" w:rsidP="00C95F46">
      <w:r>
        <w:separator/>
      </w:r>
    </w:p>
  </w:footnote>
  <w:footnote w:type="continuationSeparator" w:id="0">
    <w:p w14:paraId="118C1379" w14:textId="77777777" w:rsidR="00D55818" w:rsidRDefault="00D55818" w:rsidP="00C95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3D1BA2"/>
    <w:multiLevelType w:val="singleLevel"/>
    <w:tmpl w:val="F73D1BA2"/>
    <w:lvl w:ilvl="0">
      <w:start w:val="1"/>
      <w:numFmt w:val="chineseCounting"/>
      <w:suff w:val="nothing"/>
      <w:lvlText w:val="（%1）"/>
      <w:lvlJc w:val="left"/>
      <w:pPr>
        <w:ind w:left="640" w:firstLine="0"/>
      </w:pPr>
      <w:rPr>
        <w:rFonts w:hint="eastAsia"/>
      </w:rPr>
    </w:lvl>
  </w:abstractNum>
  <w:abstractNum w:abstractNumId="1" w15:restartNumberingAfterBreak="0">
    <w:nsid w:val="2BBE6CD1"/>
    <w:multiLevelType w:val="singleLevel"/>
    <w:tmpl w:val="2BBE6CD1"/>
    <w:lvl w:ilvl="0">
      <w:start w:val="2"/>
      <w:numFmt w:val="chineseCounting"/>
      <w:suff w:val="nothing"/>
      <w:lvlText w:val="%1、"/>
      <w:lvlJc w:val="left"/>
      <w:rPr>
        <w:rFonts w:hint="eastAsia"/>
      </w:rPr>
    </w:lvl>
  </w:abstractNum>
  <w:num w:numId="1" w16cid:durableId="1050762900">
    <w:abstractNumId w:val="1"/>
  </w:num>
  <w:num w:numId="2" w16cid:durableId="418988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420"/>
  <w:drawingGridVerticalSpacing w:val="156"/>
  <w:noPunctuationKerning/>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OWJmMGY0NzMzOGY2NGQ0MWYwZjA3MWNhYzc5OGJlZTAifQ=="/>
  </w:docVars>
  <w:rsids>
    <w:rsidRoot w:val="00C95F46"/>
    <w:rsid w:val="00C95F46"/>
    <w:rsid w:val="00D55818"/>
    <w:rsid w:val="2BFEC399"/>
    <w:rsid w:val="3EAB0813"/>
    <w:rsid w:val="439FB6A3"/>
    <w:rsid w:val="4E2E2BC4"/>
    <w:rsid w:val="5DD01B79"/>
    <w:rsid w:val="6FF86301"/>
    <w:rsid w:val="7277FD0E"/>
    <w:rsid w:val="77146846"/>
    <w:rsid w:val="77D4E0E0"/>
    <w:rsid w:val="7BAAE62E"/>
    <w:rsid w:val="7F5ED3AC"/>
    <w:rsid w:val="7F6EA5E3"/>
    <w:rsid w:val="7FF1E594"/>
    <w:rsid w:val="8BF736D7"/>
    <w:rsid w:val="8FFFBDA8"/>
    <w:rsid w:val="9F7AD5AD"/>
    <w:rsid w:val="AFFB8EA1"/>
    <w:rsid w:val="B39EB810"/>
    <w:rsid w:val="CFFBBF72"/>
    <w:rsid w:val="DDD70EFB"/>
    <w:rsid w:val="DFBD0BFD"/>
    <w:rsid w:val="F6F9931F"/>
    <w:rsid w:val="FBEB864A"/>
    <w:rsid w:val="FCFF5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6486AD2"/>
  <w15:chartTrackingRefBased/>
  <w15:docId w15:val="{566F58DE-1536-4291-A5D9-EC62351D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黄磊</cp:lastModifiedBy>
  <cp:revision>2</cp:revision>
  <dcterms:created xsi:type="dcterms:W3CDTF">2022-12-01T07:57:00Z</dcterms:created>
  <dcterms:modified xsi:type="dcterms:W3CDTF">2022-12-01T07:57:00Z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601A88EB91F04162BD5E8DB21AA51F75</vt:lpwstr>
  </property>
</Properties>
</file>