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附件1</w:t>
      </w:r>
    </w:p>
    <w:tbl>
      <w:tblPr>
        <w:tblStyle w:val="2"/>
        <w:tblW w:w="14679" w:type="dxa"/>
        <w:tblInd w:w="-598" w:type="dxa"/>
        <w:tblLayout w:type="fixed"/>
        <w:tblCellMar>
          <w:top w:w="0" w:type="dxa"/>
          <w:left w:w="108" w:type="dxa"/>
          <w:bottom w:w="0" w:type="dxa"/>
          <w:right w:w="108" w:type="dxa"/>
        </w:tblCellMar>
      </w:tblPr>
      <w:tblGrid>
        <w:gridCol w:w="515"/>
        <w:gridCol w:w="575"/>
        <w:gridCol w:w="1289"/>
        <w:gridCol w:w="2346"/>
        <w:gridCol w:w="761"/>
        <w:gridCol w:w="900"/>
        <w:gridCol w:w="1512"/>
        <w:gridCol w:w="1155"/>
        <w:gridCol w:w="3986"/>
        <w:gridCol w:w="708"/>
        <w:gridCol w:w="932"/>
      </w:tblGrid>
      <w:tr>
        <w:tblPrEx>
          <w:tblLayout w:type="fixed"/>
          <w:tblCellMar>
            <w:top w:w="0" w:type="dxa"/>
            <w:left w:w="108" w:type="dxa"/>
            <w:bottom w:w="0" w:type="dxa"/>
            <w:right w:w="108" w:type="dxa"/>
          </w:tblCellMar>
        </w:tblPrEx>
        <w:trPr>
          <w:trHeight w:val="420" w:hRule="atLeast"/>
          <w:tblHeader/>
        </w:trPr>
        <w:tc>
          <w:tcPr>
            <w:tcW w:w="14679"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40"/>
                <w:szCs w:val="40"/>
                <w:lang w:val="en-US" w:eastAsia="zh-CN"/>
              </w:rPr>
              <w:t>昆明市生态环境局五华分局</w:t>
            </w:r>
            <w:r>
              <w:rPr>
                <w:rFonts w:hint="eastAsia" w:ascii="方正小标宋_GBK" w:hAnsi="宋体" w:eastAsia="方正小标宋_GBK" w:cs="宋体"/>
                <w:kern w:val="0"/>
                <w:sz w:val="40"/>
                <w:szCs w:val="40"/>
              </w:rPr>
              <w:t>市场监管领域随机抽查事项清单（</w:t>
            </w:r>
            <w:r>
              <w:rPr>
                <w:rFonts w:hint="eastAsia" w:ascii="方正小标宋_GBK" w:hAnsi="宋体" w:eastAsia="方正小标宋_GBK" w:cs="宋体"/>
                <w:kern w:val="0"/>
                <w:sz w:val="40"/>
                <w:szCs w:val="40"/>
                <w:lang w:val="en-US" w:eastAsia="zh-CN"/>
              </w:rPr>
              <w:t>6</w:t>
            </w:r>
            <w:r>
              <w:rPr>
                <w:rFonts w:hint="eastAsia" w:ascii="方正小标宋_GBK" w:hAnsi="宋体" w:eastAsia="方正小标宋_GBK" w:cs="宋体"/>
                <w:kern w:val="0"/>
                <w:sz w:val="40"/>
                <w:szCs w:val="40"/>
              </w:rPr>
              <w:t>类</w:t>
            </w:r>
            <w:r>
              <w:rPr>
                <w:rFonts w:hint="eastAsia" w:ascii="方正小标宋_GBK" w:hAnsi="宋体" w:eastAsia="方正小标宋_GBK" w:cs="宋体"/>
                <w:kern w:val="0"/>
                <w:sz w:val="40"/>
                <w:szCs w:val="40"/>
                <w:lang w:val="en-US" w:eastAsia="zh-CN"/>
              </w:rPr>
              <w:t>10</w:t>
            </w:r>
            <w:r>
              <w:rPr>
                <w:rFonts w:hint="eastAsia" w:ascii="方正小标宋_GBK" w:hAnsi="宋体" w:eastAsia="方正小标宋_GBK" w:cs="宋体"/>
                <w:kern w:val="0"/>
                <w:sz w:val="40"/>
                <w:szCs w:val="40"/>
              </w:rPr>
              <w:t xml:space="preserve">项） </w:t>
            </w:r>
          </w:p>
        </w:tc>
      </w:tr>
      <w:tr>
        <w:tblPrEx>
          <w:tblLayout w:type="fixed"/>
          <w:tblCellMar>
            <w:top w:w="0" w:type="dxa"/>
            <w:left w:w="108" w:type="dxa"/>
            <w:bottom w:w="0" w:type="dxa"/>
            <w:right w:w="108" w:type="dxa"/>
          </w:tblCellMar>
        </w:tblPrEx>
        <w:trPr>
          <w:trHeight w:val="395" w:hRule="atLeast"/>
          <w:tblHeader/>
        </w:trPr>
        <w:tc>
          <w:tcPr>
            <w:tcW w:w="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6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9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5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9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Layout w:type="fixed"/>
          <w:tblCellMar>
            <w:top w:w="0" w:type="dxa"/>
            <w:left w:w="108" w:type="dxa"/>
            <w:bottom w:w="0" w:type="dxa"/>
            <w:right w:w="108" w:type="dxa"/>
          </w:tblCellMar>
        </w:tblPrEx>
        <w:trPr>
          <w:trHeight w:val="366" w:hRule="atLeast"/>
          <w:tblHeader/>
        </w:trPr>
        <w:tc>
          <w:tcPr>
            <w:tcW w:w="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2346"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9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1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9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tblLayout w:type="fixed"/>
          <w:tblCellMar>
            <w:top w:w="0" w:type="dxa"/>
            <w:left w:w="108" w:type="dxa"/>
            <w:bottom w:w="0" w:type="dxa"/>
            <w:right w:w="108" w:type="dxa"/>
          </w:tblCellMar>
        </w:tblPrEx>
        <w:trPr>
          <w:trHeight w:val="1834" w:hRule="atLeast"/>
        </w:trPr>
        <w:tc>
          <w:tcPr>
            <w:tcW w:w="515"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575"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市生态环境局五华分局</w:t>
            </w:r>
            <w:r>
              <w:rPr>
                <w:rFonts w:hint="eastAsia" w:cs="宋体" w:asciiTheme="minorEastAsia" w:hAnsiTheme="minorEastAsia"/>
                <w:kern w:val="0"/>
                <w:sz w:val="20"/>
                <w:szCs w:val="20"/>
                <w:highlight w:val="none"/>
              </w:rPr>
              <w:t>（</w:t>
            </w:r>
            <w:r>
              <w:rPr>
                <w:rFonts w:hint="eastAsia" w:cs="宋体" w:asciiTheme="minorEastAsia" w:hAnsiTheme="minorEastAsia"/>
                <w:kern w:val="0"/>
                <w:sz w:val="20"/>
                <w:szCs w:val="20"/>
              </w:rPr>
              <w:t>6类10项</w:t>
            </w:r>
            <w:r>
              <w:rPr>
                <w:rFonts w:hint="eastAsia" w:cs="宋体" w:asciiTheme="minorEastAsia" w:hAnsiTheme="minorEastAsia"/>
                <w:kern w:val="0"/>
                <w:sz w:val="20"/>
                <w:szCs w:val="20"/>
                <w:lang w:eastAsia="zh-CN"/>
              </w:rPr>
              <w:t>）</w:t>
            </w:r>
          </w:p>
        </w:tc>
        <w:tc>
          <w:tcPr>
            <w:tcW w:w="128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放射性污染防治监督检查</w:t>
            </w:r>
          </w:p>
        </w:tc>
        <w:tc>
          <w:tcPr>
            <w:tcW w:w="234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对省级监管核技术利用单位放射性污染防治工作的检查</w:t>
            </w:r>
          </w:p>
        </w:tc>
        <w:tc>
          <w:tcPr>
            <w:tcW w:w="7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重点检查事项</w:t>
            </w:r>
          </w:p>
        </w:tc>
        <w:tc>
          <w:tcPr>
            <w:tcW w:w="9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市级监管核技术利用单位</w:t>
            </w: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市、县级生态环境主管部门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《中华人民共和国放射性污染防治法》第十一条；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《放射性同位素与射线装置安全和防护条例》第四十六条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市、县两级监管</w:t>
            </w:r>
          </w:p>
        </w:tc>
      </w:tr>
      <w:tr>
        <w:tblPrEx>
          <w:tblLayout w:type="fixed"/>
          <w:tblCellMar>
            <w:top w:w="0" w:type="dxa"/>
            <w:left w:w="108" w:type="dxa"/>
            <w:bottom w:w="0" w:type="dxa"/>
            <w:right w:w="108" w:type="dxa"/>
          </w:tblCellMar>
        </w:tblPrEx>
        <w:trPr>
          <w:trHeight w:val="1406" w:hRule="atLeast"/>
        </w:trPr>
        <w:tc>
          <w:tcPr>
            <w:tcW w:w="515"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575"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289" w:type="dxa"/>
            <w:vMerge w:val="restart"/>
            <w:tcBorders>
              <w:top w:val="nil"/>
              <w:left w:val="nil"/>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对排放污染物的企业事业单位和其他生产经营者的行政检查</w:t>
            </w:r>
          </w:p>
        </w:tc>
        <w:tc>
          <w:tcPr>
            <w:tcW w:w="234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对排放污染物的企业事业单位和其他生产经营者的监督检查和监测</w:t>
            </w:r>
          </w:p>
        </w:tc>
        <w:tc>
          <w:tcPr>
            <w:tcW w:w="7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9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市、县级生态环境主管部门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《中华人民共和国环境保护法》第二十四条；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《中华人民共和国大气污染防治法》第二十九条；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《中华人民共和国水污染防治法》第三十条、第五十条；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《畜禽规模养殖污染防治条例》（</w:t>
            </w:r>
            <w:r>
              <w:rPr>
                <w:rFonts w:hint="eastAsia" w:cs="宋体" w:asciiTheme="minorEastAsia" w:hAnsiTheme="minorEastAsia"/>
                <w:kern w:val="0"/>
                <w:sz w:val="20"/>
                <w:szCs w:val="20"/>
                <w:lang w:val="en-US" w:eastAsia="zh-CN"/>
              </w:rPr>
              <w:t>中华人民共和国</w:t>
            </w:r>
            <w:r>
              <w:rPr>
                <w:rFonts w:hint="eastAsia" w:cs="宋体" w:asciiTheme="minorEastAsia" w:hAnsiTheme="minorEastAsia"/>
                <w:kern w:val="0"/>
                <w:sz w:val="20"/>
                <w:szCs w:val="20"/>
              </w:rPr>
              <w:t>国务院</w:t>
            </w:r>
            <w:r>
              <w:rPr>
                <w:rFonts w:hint="eastAsia" w:cs="宋体" w:asciiTheme="minorEastAsia" w:hAnsiTheme="minorEastAsia"/>
                <w:kern w:val="0"/>
                <w:sz w:val="20"/>
                <w:szCs w:val="20"/>
                <w:lang w:val="en-US" w:eastAsia="zh-CN"/>
              </w:rPr>
              <w:t>令</w:t>
            </w:r>
            <w:r>
              <w:rPr>
                <w:rFonts w:hint="eastAsia" w:cs="宋体" w:asciiTheme="minorEastAsia" w:hAnsiTheme="minorEastAsia"/>
                <w:kern w:val="0"/>
                <w:sz w:val="20"/>
                <w:szCs w:val="20"/>
              </w:rPr>
              <w:t>第643号令）第二十三条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市、县两级监管</w:t>
            </w:r>
          </w:p>
        </w:tc>
      </w:tr>
      <w:tr>
        <w:tblPrEx>
          <w:tblLayout w:type="fixed"/>
          <w:tblCellMar>
            <w:top w:w="0" w:type="dxa"/>
            <w:left w:w="108" w:type="dxa"/>
            <w:bottom w:w="0" w:type="dxa"/>
            <w:right w:w="108" w:type="dxa"/>
          </w:tblCellMar>
        </w:tblPrEx>
        <w:trPr>
          <w:trHeight w:val="2028" w:hRule="atLeast"/>
        </w:trPr>
        <w:tc>
          <w:tcPr>
            <w:tcW w:w="515"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57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289"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color w:val="000000"/>
                <w:kern w:val="2"/>
                <w:sz w:val="20"/>
                <w:szCs w:val="20"/>
                <w:lang w:val="en-US" w:eastAsia="zh-CN" w:bidi="ar-SA"/>
              </w:rPr>
            </w:pPr>
          </w:p>
        </w:tc>
        <w:tc>
          <w:tcPr>
            <w:tcW w:w="234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eastAsiaTheme="minorEastAsia"/>
                <w:color w:val="000000"/>
                <w:kern w:val="2"/>
                <w:sz w:val="20"/>
                <w:szCs w:val="20"/>
                <w:lang w:val="en-US" w:eastAsia="zh-CN" w:bidi="ar-SA"/>
              </w:rPr>
            </w:pPr>
            <w:r>
              <w:rPr>
                <w:rFonts w:hint="eastAsia" w:cs="宋体" w:asciiTheme="minorEastAsia" w:hAnsiTheme="minorEastAsia"/>
                <w:kern w:val="0"/>
                <w:sz w:val="20"/>
                <w:szCs w:val="20"/>
              </w:rPr>
              <w:t>对污染源自动监控设施现场的监督检查；对自动监控系统的建设、运行和维护等的监督检查</w:t>
            </w:r>
          </w:p>
        </w:tc>
        <w:tc>
          <w:tcPr>
            <w:tcW w:w="76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90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w:t>
            </w:r>
          </w:p>
        </w:tc>
        <w:tc>
          <w:tcPr>
            <w:tcW w:w="151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市、县级生态环境主管部门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《中华人民共和国水污染防治法》第二十四条；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w:t>
            </w:r>
            <w:bookmarkStart w:id="0" w:name="_GoBack"/>
            <w:r>
              <w:rPr>
                <w:rFonts w:hint="eastAsia" w:cs="宋体" w:asciiTheme="minorEastAsia" w:hAnsiTheme="minorEastAsia"/>
                <w:kern w:val="0"/>
                <w:sz w:val="20"/>
                <w:szCs w:val="20"/>
              </w:rPr>
              <w:t>污染源自动监控设施现场监督检查办法》（</w:t>
            </w:r>
            <w:r>
              <w:rPr>
                <w:rFonts w:hint="eastAsia" w:cs="宋体" w:asciiTheme="minorEastAsia" w:hAnsiTheme="minorEastAsia"/>
                <w:kern w:val="0"/>
                <w:sz w:val="20"/>
                <w:szCs w:val="20"/>
                <w:highlight w:val="none"/>
              </w:rPr>
              <w:t>环境保护部</w:t>
            </w:r>
            <w:r>
              <w:rPr>
                <w:rFonts w:hint="eastAsia" w:cs="宋体" w:asciiTheme="minorEastAsia" w:hAnsiTheme="minorEastAsia"/>
                <w:kern w:val="0"/>
                <w:sz w:val="20"/>
                <w:szCs w:val="20"/>
              </w:rPr>
              <w:t>第19号令</w:t>
            </w:r>
            <w:bookmarkEnd w:id="0"/>
            <w:r>
              <w:rPr>
                <w:rFonts w:hint="eastAsia" w:cs="宋体" w:asciiTheme="minorEastAsia" w:hAnsiTheme="minorEastAsia"/>
                <w:kern w:val="0"/>
                <w:sz w:val="20"/>
                <w:szCs w:val="20"/>
              </w:rPr>
              <w:t>）第四条；</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《污染源自动监控管理办法》（国家环境保护总局第28号令）第六条第三项</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普遍使用</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asciiTheme="minorEastAsia" w:hAnsiTheme="minorEastAsia" w:cstheme="minorEastAsia"/>
                <w:sz w:val="20"/>
                <w:szCs w:val="20"/>
              </w:rPr>
              <w:t>市、县两级监管</w:t>
            </w:r>
          </w:p>
        </w:tc>
      </w:tr>
      <w:tr>
        <w:tblPrEx>
          <w:tblLayout w:type="fixed"/>
          <w:tblCellMar>
            <w:top w:w="0" w:type="dxa"/>
            <w:left w:w="108" w:type="dxa"/>
            <w:bottom w:w="0" w:type="dxa"/>
            <w:right w:w="108" w:type="dxa"/>
          </w:tblCellMar>
        </w:tblPrEx>
        <w:trPr>
          <w:trHeight w:val="2255"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市生态环境局五华分局</w:t>
            </w:r>
            <w:r>
              <w:rPr>
                <w:rFonts w:hint="eastAsia" w:cs="宋体" w:asciiTheme="minorEastAsia" w:hAnsiTheme="minorEastAsia"/>
                <w:kern w:val="0"/>
                <w:sz w:val="20"/>
                <w:szCs w:val="20"/>
                <w:highlight w:val="none"/>
              </w:rPr>
              <w:t>（</w:t>
            </w:r>
            <w:r>
              <w:rPr>
                <w:rFonts w:hint="eastAsia" w:cs="宋体" w:asciiTheme="minorEastAsia" w:hAnsiTheme="minorEastAsia"/>
                <w:kern w:val="0"/>
                <w:sz w:val="20"/>
                <w:szCs w:val="20"/>
              </w:rPr>
              <w:t>6类10项</w:t>
            </w:r>
            <w:r>
              <w:rPr>
                <w:rFonts w:hint="eastAsia" w:cs="宋体" w:asciiTheme="minorEastAsia" w:hAnsiTheme="minorEastAsia"/>
                <w:kern w:val="0"/>
                <w:sz w:val="20"/>
                <w:szCs w:val="20"/>
                <w:lang w:eastAsia="zh-CN"/>
              </w:rPr>
              <w:t>）</w:t>
            </w:r>
          </w:p>
        </w:tc>
        <w:tc>
          <w:tcPr>
            <w:tcW w:w="128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固体废物、危险废物产生、转移、处置情况的监督检查</w:t>
            </w:r>
          </w:p>
          <w:p>
            <w:pPr>
              <w:widowControl/>
              <w:spacing w:line="240" w:lineRule="exact"/>
              <w:jc w:val="left"/>
              <w:rPr>
                <w:rFonts w:cs="宋体" w:asciiTheme="minorEastAsia" w:hAnsiTheme="minorEastAsia" w:eastAsiaTheme="minorEastAsia"/>
                <w:kern w:val="0"/>
                <w:sz w:val="20"/>
                <w:szCs w:val="20"/>
                <w:lang w:val="en-US" w:eastAsia="zh-CN" w:bidi="ar-SA"/>
              </w:rPr>
            </w:pP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对产生、收集、贮存、运输、利用、处置危险废物单位的监督检查；对固体废物污染环境防治工作的检查、指导和督促</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一般检查事项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企业</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市、县级生态环境主管部门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《中华人民共和国固体废物污染环境防治法》第六十二条；</w:t>
            </w:r>
          </w:p>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《危险废物经营许可证管理办法》（国务院第408号令）第十七条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普遍使用</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asciiTheme="minorEastAsia" w:hAnsiTheme="minorEastAsia" w:cstheme="minorEastAsia"/>
                <w:sz w:val="20"/>
                <w:szCs w:val="20"/>
              </w:rPr>
              <w:t>市、县两级监管</w:t>
            </w:r>
          </w:p>
        </w:tc>
      </w:tr>
      <w:tr>
        <w:tblPrEx>
          <w:tblLayout w:type="fixed"/>
          <w:tblCellMar>
            <w:top w:w="0" w:type="dxa"/>
            <w:left w:w="108" w:type="dxa"/>
            <w:bottom w:w="0" w:type="dxa"/>
            <w:right w:w="108" w:type="dxa"/>
          </w:tblCellMar>
        </w:tblPrEx>
        <w:trPr>
          <w:trHeight w:val="90"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28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对废弃电器电子产品处理活动；对拆解、利用、处置电子废物单位的监督检查</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一般检查事项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企业</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市、县级生态环境主管部门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《废弃电器电子产品回收处理管理条例》（国务院第551号令）第二十五条；</w:t>
            </w:r>
          </w:p>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《电子废物污染环境防治管理办法》（国家环境保护总局第40号令）第十二条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普遍使用</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asciiTheme="minorEastAsia" w:hAnsiTheme="minorEastAsia" w:cstheme="minorEastAsia"/>
                <w:sz w:val="20"/>
                <w:szCs w:val="20"/>
              </w:rPr>
              <w:t>市、县两级监管</w:t>
            </w:r>
          </w:p>
        </w:tc>
      </w:tr>
      <w:tr>
        <w:tblPrEx>
          <w:tblLayout w:type="fixed"/>
          <w:tblCellMar>
            <w:top w:w="0" w:type="dxa"/>
            <w:left w:w="108" w:type="dxa"/>
            <w:bottom w:w="0" w:type="dxa"/>
            <w:right w:w="108" w:type="dxa"/>
          </w:tblCellMar>
        </w:tblPrEx>
        <w:trPr>
          <w:trHeight w:val="1473"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sz w:val="20"/>
                <w:szCs w:val="20"/>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28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对医疗卫生机构和医疗废物集中处置单位环境污染防治工作的监督检查</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一般检查事项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企业、事业单位及民营主体</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市、县级生态环境主管部门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《医疗废物管理条例》（国务院第380号令）第三十六条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普遍使用</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asciiTheme="minorEastAsia" w:hAnsiTheme="minorEastAsia" w:cstheme="minorEastAsia"/>
                <w:sz w:val="20"/>
                <w:szCs w:val="20"/>
              </w:rPr>
              <w:t>市、县两级监管</w:t>
            </w:r>
          </w:p>
        </w:tc>
      </w:tr>
      <w:tr>
        <w:tblPrEx>
          <w:tblLayout w:type="fixed"/>
          <w:tblCellMar>
            <w:top w:w="0" w:type="dxa"/>
            <w:left w:w="108" w:type="dxa"/>
            <w:bottom w:w="0" w:type="dxa"/>
            <w:right w:w="108" w:type="dxa"/>
          </w:tblCellMar>
        </w:tblPrEx>
        <w:trPr>
          <w:trHeight w:val="1952" w:hRule="atLeast"/>
        </w:trPr>
        <w:tc>
          <w:tcPr>
            <w:tcW w:w="515"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cs="宋体" w:asciiTheme="minorEastAsia" w:hAnsiTheme="minorEastAsia"/>
                <w:color w:val="000000"/>
                <w:sz w:val="20"/>
                <w:szCs w:val="20"/>
              </w:rPr>
            </w:pPr>
          </w:p>
        </w:tc>
        <w:tc>
          <w:tcPr>
            <w:tcW w:w="575" w:type="dxa"/>
            <w:vMerge w:val="continue"/>
            <w:tcBorders>
              <w:top w:val="single" w:color="auto" w:sz="4" w:space="0"/>
              <w:left w:val="single" w:color="auto" w:sz="4" w:space="0"/>
              <w:bottom w:val="single" w:color="auto" w:sz="4" w:space="0"/>
              <w:right w:val="single" w:color="auto" w:sz="4" w:space="0"/>
            </w:tcBorders>
          </w:tcPr>
          <w:p>
            <w:pPr>
              <w:spacing w:line="240" w:lineRule="exact"/>
              <w:jc w:val="center"/>
              <w:rPr>
                <w:rFonts w:cs="宋体" w:asciiTheme="minorEastAsia" w:hAnsiTheme="minorEastAsia"/>
                <w:kern w:val="0"/>
                <w:sz w:val="20"/>
                <w:szCs w:val="20"/>
              </w:rPr>
            </w:pPr>
          </w:p>
        </w:tc>
        <w:tc>
          <w:tcPr>
            <w:tcW w:w="1289" w:type="dxa"/>
            <w:vMerge w:val="continue"/>
            <w:tcBorders>
              <w:left w:val="single" w:color="auto" w:sz="4" w:space="0"/>
              <w:bottom w:val="single" w:color="auto" w:sz="4" w:space="0"/>
              <w:right w:val="single" w:color="auto" w:sz="4" w:space="0"/>
            </w:tcBorders>
          </w:tcPr>
          <w:p>
            <w:pPr>
              <w:widowControl/>
              <w:spacing w:line="240" w:lineRule="exact"/>
              <w:jc w:val="left"/>
              <w:rPr>
                <w:rFonts w:cs="宋体" w:asciiTheme="minorEastAsia" w:hAnsiTheme="minorEastAsia"/>
                <w:kern w:val="0"/>
                <w:sz w:val="20"/>
                <w:szCs w:val="20"/>
              </w:rPr>
            </w:pPr>
          </w:p>
        </w:tc>
        <w:tc>
          <w:tcPr>
            <w:tcW w:w="23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2"/>
                <w:szCs w:val="22"/>
              </w:rPr>
              <w:t>对危险废物转移联单运行情况的检查</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2"/>
                <w:szCs w:val="22"/>
              </w:rPr>
              <w:t>一般检查事项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2"/>
                <w:szCs w:val="22"/>
              </w:rPr>
              <w:t>企业</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2"/>
                <w:szCs w:val="22"/>
              </w:rPr>
              <w:t>实地核查</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2"/>
                <w:szCs w:val="22"/>
              </w:rPr>
              <w:t>市、县级生态环境主管部门</w:t>
            </w:r>
          </w:p>
        </w:tc>
        <w:tc>
          <w:tcPr>
            <w:tcW w:w="3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2"/>
                <w:szCs w:val="22"/>
              </w:rPr>
              <w:t>《危险废物转移联单管理办法》（生态环境部、公安部、交通运输部令第23号公布）第十一条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2"/>
                <w:szCs w:val="22"/>
              </w:rPr>
              <w:t>普遍使用</w:t>
            </w: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asciiTheme="minorEastAsia" w:hAnsiTheme="minorEastAsia" w:cstheme="minorEastAsia"/>
                <w:sz w:val="22"/>
                <w:szCs w:val="22"/>
              </w:rPr>
              <w:t>市、县两级监管</w:t>
            </w:r>
          </w:p>
        </w:tc>
      </w:tr>
      <w:tr>
        <w:tblPrEx>
          <w:tblLayout w:type="fixed"/>
          <w:tblCellMar>
            <w:top w:w="0" w:type="dxa"/>
            <w:left w:w="108" w:type="dxa"/>
            <w:bottom w:w="0" w:type="dxa"/>
            <w:right w:w="108" w:type="dxa"/>
          </w:tblCellMar>
        </w:tblPrEx>
        <w:trPr>
          <w:trHeight w:val="1604" w:hRule="atLeast"/>
        </w:trPr>
        <w:tc>
          <w:tcPr>
            <w:tcW w:w="515"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cs="宋体" w:asciiTheme="minorEastAsia" w:hAnsiTheme="minorEastAsia"/>
                <w:color w:val="000000"/>
                <w:sz w:val="20"/>
                <w:szCs w:val="20"/>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对化学品进口生产等活动的检查</w:t>
            </w:r>
          </w:p>
        </w:tc>
        <w:tc>
          <w:tcPr>
            <w:tcW w:w="23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对新化学物质生产、加工使用活动的；化学品首次进口及有毒化学品进出口的监督检查</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一般检查事项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企业</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实地核查</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市、县级生态环境主管部门</w:t>
            </w:r>
          </w:p>
        </w:tc>
        <w:tc>
          <w:tcPr>
            <w:tcW w:w="3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《新化学物质环境管理登记办法》（生态环境部令第12号）第四十三条；</w:t>
            </w:r>
          </w:p>
          <w:p>
            <w:pPr>
              <w:widowControl/>
              <w:spacing w:line="240" w:lineRule="exact"/>
              <w:jc w:val="left"/>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color w:val="auto"/>
                <w:kern w:val="0"/>
                <w:sz w:val="20"/>
                <w:szCs w:val="20"/>
              </w:rPr>
              <w:t>《化学品首次进口及有毒化学品进出口环境管理规定》第八</w:t>
            </w:r>
            <w:r>
              <w:rPr>
                <w:rFonts w:hint="eastAsia" w:cs="宋体" w:asciiTheme="minorEastAsia" w:hAnsiTheme="minorEastAsia"/>
                <w:color w:val="auto"/>
                <w:kern w:val="0"/>
                <w:sz w:val="20"/>
                <w:szCs w:val="20"/>
                <w:lang w:val="en-US" w:eastAsia="zh-CN"/>
              </w:rPr>
              <w:t>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普遍使用</w:t>
            </w: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asciiTheme="minorEastAsia" w:hAnsiTheme="minorEastAsia" w:cstheme="minorEastAsia"/>
                <w:sz w:val="20"/>
                <w:szCs w:val="20"/>
              </w:rPr>
              <w:t>市、县两级监管</w:t>
            </w:r>
          </w:p>
        </w:tc>
      </w:tr>
      <w:tr>
        <w:tblPrEx>
          <w:tblLayout w:type="fixed"/>
          <w:tblCellMar>
            <w:top w:w="0" w:type="dxa"/>
            <w:left w:w="108" w:type="dxa"/>
            <w:bottom w:w="0" w:type="dxa"/>
            <w:right w:w="108" w:type="dxa"/>
          </w:tblCellMar>
        </w:tblPrEx>
        <w:trPr>
          <w:trHeight w:val="2034" w:hRule="atLeast"/>
        </w:trPr>
        <w:tc>
          <w:tcPr>
            <w:tcW w:w="515"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cs="宋体" w:asciiTheme="minorEastAsia" w:hAnsiTheme="minorEastAsia"/>
                <w:color w:val="000000"/>
                <w:sz w:val="20"/>
                <w:szCs w:val="20"/>
              </w:rPr>
            </w:pPr>
          </w:p>
        </w:tc>
        <w:tc>
          <w:tcPr>
            <w:tcW w:w="575"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自然生态环境保护情况、农村生态环境保护情况的监督检查</w:t>
            </w:r>
          </w:p>
        </w:tc>
        <w:tc>
          <w:tcPr>
            <w:tcW w:w="23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2"/>
                <w:szCs w:val="22"/>
                <w:lang w:val="en-US" w:eastAsia="zh-CN" w:bidi="ar-SA"/>
              </w:rPr>
            </w:pPr>
            <w:r>
              <w:rPr>
                <w:rFonts w:hint="eastAsia" w:cs="宋体" w:asciiTheme="minorEastAsia" w:hAnsiTheme="minorEastAsia"/>
                <w:kern w:val="0"/>
                <w:sz w:val="20"/>
                <w:szCs w:val="20"/>
              </w:rPr>
              <w:t>对自然保护区、畜禽养殖污染防治等生态和农村环境保护法律法规执行情况进行检查</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2"/>
                <w:szCs w:val="22"/>
                <w:lang w:val="en-US" w:eastAsia="zh-CN" w:bidi="ar-SA"/>
              </w:rPr>
            </w:pPr>
            <w:r>
              <w:rPr>
                <w:rFonts w:hint="eastAsia" w:cs="宋体" w:asciiTheme="minorEastAsia" w:hAnsiTheme="minorEastAsia"/>
                <w:kern w:val="0"/>
                <w:sz w:val="20"/>
                <w:szCs w:val="20"/>
              </w:rPr>
              <w:t>一般检查事项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2"/>
                <w:szCs w:val="22"/>
                <w:lang w:val="en-US" w:eastAsia="zh-CN" w:bidi="ar-SA"/>
              </w:rPr>
            </w:pPr>
            <w:r>
              <w:rPr>
                <w:rFonts w:hint="eastAsia" w:cs="宋体" w:asciiTheme="minorEastAsia" w:hAnsiTheme="minorEastAsia"/>
                <w:kern w:val="0"/>
                <w:sz w:val="20"/>
                <w:szCs w:val="20"/>
              </w:rPr>
              <w:t>企业、事业单位及民营主体</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2"/>
                <w:szCs w:val="22"/>
                <w:lang w:val="en-US" w:eastAsia="zh-CN" w:bidi="ar-SA"/>
              </w:rPr>
            </w:pPr>
            <w:r>
              <w:rPr>
                <w:rFonts w:hint="eastAsia" w:cs="宋体" w:asciiTheme="minorEastAsia" w:hAnsiTheme="minorEastAsia"/>
                <w:kern w:val="0"/>
                <w:sz w:val="20"/>
                <w:szCs w:val="20"/>
              </w:rPr>
              <w:t>实地核查</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2"/>
                <w:szCs w:val="22"/>
                <w:lang w:val="en-US" w:eastAsia="zh-CN" w:bidi="ar-SA"/>
              </w:rPr>
            </w:pPr>
            <w:r>
              <w:rPr>
                <w:rFonts w:hint="eastAsia" w:cs="宋体" w:asciiTheme="minorEastAsia" w:hAnsiTheme="minorEastAsia"/>
                <w:kern w:val="0"/>
                <w:sz w:val="20"/>
                <w:szCs w:val="20"/>
              </w:rPr>
              <w:t>市、县级生态环境主管部门</w:t>
            </w:r>
          </w:p>
        </w:tc>
        <w:tc>
          <w:tcPr>
            <w:tcW w:w="3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《环境监察办法》第六条第三款；</w:t>
            </w:r>
          </w:p>
          <w:p>
            <w:pPr>
              <w:widowControl/>
              <w:spacing w:line="240" w:lineRule="exact"/>
              <w:jc w:val="left"/>
              <w:rPr>
                <w:rFonts w:cs="宋体" w:asciiTheme="minorEastAsia" w:hAnsiTheme="minorEastAsia" w:eastAsiaTheme="minorEastAsia"/>
                <w:kern w:val="0"/>
                <w:sz w:val="22"/>
                <w:szCs w:val="22"/>
                <w:lang w:val="en-US" w:eastAsia="zh-CN" w:bidi="ar-SA"/>
              </w:rPr>
            </w:pPr>
            <w:r>
              <w:rPr>
                <w:rFonts w:hint="eastAsia" w:cs="宋体" w:asciiTheme="minorEastAsia" w:hAnsiTheme="minorEastAsia"/>
                <w:kern w:val="0"/>
                <w:sz w:val="20"/>
                <w:szCs w:val="20"/>
              </w:rPr>
              <w:t>《关于全国生态和农村环境监察工作的指导意见》（2012年12月14日环发〔2012〕146号）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2"/>
                <w:szCs w:val="22"/>
                <w:lang w:val="en-US" w:eastAsia="zh-CN" w:bidi="ar-SA"/>
              </w:rPr>
            </w:pPr>
            <w:r>
              <w:rPr>
                <w:rFonts w:hint="eastAsia" w:cs="宋体" w:asciiTheme="minorEastAsia" w:hAnsiTheme="minorEastAsia"/>
                <w:kern w:val="0"/>
                <w:sz w:val="20"/>
                <w:szCs w:val="20"/>
              </w:rPr>
              <w:t>普遍使用</w:t>
            </w: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2"/>
                <w:szCs w:val="22"/>
                <w:lang w:val="en-US" w:eastAsia="zh-CN" w:bidi="ar-SA"/>
              </w:rPr>
            </w:pPr>
            <w:r>
              <w:rPr>
                <w:rFonts w:hint="eastAsia" w:asciiTheme="minorEastAsia" w:hAnsiTheme="minorEastAsia" w:cstheme="minorEastAsia"/>
                <w:sz w:val="20"/>
                <w:szCs w:val="20"/>
              </w:rPr>
              <w:t>市、县两级监管</w:t>
            </w:r>
          </w:p>
        </w:tc>
      </w:tr>
      <w:tr>
        <w:tblPrEx>
          <w:tblLayout w:type="fixed"/>
          <w:tblCellMar>
            <w:top w:w="0" w:type="dxa"/>
            <w:left w:w="108" w:type="dxa"/>
            <w:bottom w:w="0" w:type="dxa"/>
            <w:right w:w="108" w:type="dxa"/>
          </w:tblCellMar>
        </w:tblPrEx>
        <w:trPr>
          <w:trHeight w:val="2096" w:hRule="atLeast"/>
        </w:trPr>
        <w:tc>
          <w:tcPr>
            <w:tcW w:w="515"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cs="宋体" w:asciiTheme="minorEastAsia" w:hAnsiTheme="minorEastAsia"/>
                <w:color w:val="000000"/>
                <w:sz w:val="20"/>
                <w:szCs w:val="20"/>
              </w:rPr>
            </w:pPr>
          </w:p>
        </w:tc>
        <w:tc>
          <w:tcPr>
            <w:tcW w:w="575"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对建设项目环境影响评价落实情况的检查</w:t>
            </w:r>
          </w:p>
        </w:tc>
        <w:tc>
          <w:tcPr>
            <w:tcW w:w="23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对建设项目环境影响评价落实情况的检查</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一般检查事项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企业</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实地核查</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市、县级生态环境主管部门</w:t>
            </w:r>
          </w:p>
        </w:tc>
        <w:tc>
          <w:tcPr>
            <w:tcW w:w="39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《中华人民共和国环境影响评价法》第二十八条；</w:t>
            </w:r>
          </w:p>
          <w:p>
            <w:pPr>
              <w:widowControl/>
              <w:spacing w:line="240" w:lineRule="exact"/>
              <w:jc w:val="left"/>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《建设项目环境保护管理条例》第二十条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kern w:val="0"/>
                <w:sz w:val="20"/>
                <w:szCs w:val="20"/>
                <w:lang w:val="en-US" w:eastAsia="zh-CN" w:bidi="ar-SA"/>
              </w:rPr>
            </w:pPr>
            <w:r>
              <w:rPr>
                <w:rFonts w:hint="eastAsia" w:cs="宋体" w:asciiTheme="minorEastAsia" w:hAnsiTheme="minorEastAsia"/>
                <w:kern w:val="0"/>
                <w:sz w:val="20"/>
                <w:szCs w:val="20"/>
              </w:rPr>
              <w:t>普遍使用</w:t>
            </w:r>
          </w:p>
        </w:tc>
        <w:tc>
          <w:tcPr>
            <w:tcW w:w="9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cs="宋体" w:asciiTheme="minorEastAsia" w:hAnsiTheme="minorEastAsia" w:eastAsiaTheme="minorEastAsia"/>
                <w:kern w:val="0"/>
                <w:sz w:val="20"/>
                <w:szCs w:val="20"/>
                <w:lang w:val="en-US" w:eastAsia="zh-CN" w:bidi="ar-SA"/>
              </w:rPr>
            </w:pPr>
            <w:r>
              <w:rPr>
                <w:rFonts w:hint="eastAsia" w:asciiTheme="minorEastAsia" w:hAnsiTheme="minorEastAsia" w:cstheme="minorEastAsia"/>
                <w:sz w:val="20"/>
                <w:szCs w:val="20"/>
              </w:rPr>
              <w:t>市、县两级监管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85ED9"/>
    <w:rsid w:val="18575C04"/>
    <w:rsid w:val="268B27A2"/>
    <w:rsid w:val="36E8182D"/>
    <w:rsid w:val="41217C86"/>
    <w:rsid w:val="41EA6276"/>
    <w:rsid w:val="4DAE5ACF"/>
    <w:rsid w:val="52890258"/>
    <w:rsid w:val="5A5F54DB"/>
    <w:rsid w:val="5D9E588E"/>
    <w:rsid w:val="67B75B9A"/>
    <w:rsid w:val="69181BF5"/>
    <w:rsid w:val="6D294454"/>
    <w:rsid w:val="7FD84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2022-09-08T04:22:00Z</dcterms:created>
  <dc:creator>HP</dc:creator>
  <cp:lastModifiedBy>涂涂改改</cp:lastModifiedBy>
  <dcterms:modified xsi:type="dcterms:W3CDTF">2022-09-19T01:09:59Z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