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4" w:lineRule="auto"/>
        <w:ind w:left="219"/>
        <w:rPr>
          <w:rFonts w:hint="eastAsia" w:ascii="黑体" w:hAnsi="黑体" w:eastAsia="黑体" w:cs="黑体"/>
          <w:sz w:val="32"/>
          <w:szCs w:val="32"/>
          <w:lang w:eastAsia="zh-CN"/>
        </w:rPr>
      </w:pPr>
      <w:r>
        <w:rPr>
          <w:rFonts w:ascii="黑体" w:hAnsi="黑体" w:eastAsia="黑体" w:cs="黑体"/>
          <w:spacing w:val="-25"/>
          <w:sz w:val="32"/>
          <w:szCs w:val="32"/>
        </w:rPr>
        <w:t>附</w:t>
      </w:r>
      <w:r>
        <w:rPr>
          <w:rFonts w:ascii="黑体" w:hAnsi="黑体" w:eastAsia="黑体" w:cs="黑体"/>
          <w:spacing w:val="-22"/>
          <w:sz w:val="32"/>
          <w:szCs w:val="32"/>
        </w:rPr>
        <w:t xml:space="preserve">件 </w:t>
      </w:r>
      <w:r>
        <w:rPr>
          <w:rFonts w:hint="eastAsia" w:ascii="黑体" w:hAnsi="黑体" w:eastAsia="黑体" w:cs="黑体"/>
          <w:spacing w:val="-22"/>
          <w:sz w:val="32"/>
          <w:szCs w:val="32"/>
          <w:lang w:val="en-US" w:eastAsia="zh-CN"/>
        </w:rPr>
        <w:t>5</w:t>
      </w:r>
    </w:p>
    <w:p>
      <w:pPr>
        <w:spacing w:line="266" w:lineRule="auto"/>
      </w:pPr>
    </w:p>
    <w:p>
      <w:pPr>
        <w:spacing w:line="266" w:lineRule="auto"/>
      </w:pPr>
    </w:p>
    <w:p>
      <w:pPr>
        <w:spacing w:before="95" w:line="219" w:lineRule="auto"/>
        <w:ind w:left="194"/>
        <w:jc w:val="center"/>
        <w:rPr>
          <w:rFonts w:hint="eastAsia" w:ascii="宋体" w:hAnsi="宋体" w:eastAsia="宋体" w:cs="宋体"/>
          <w:spacing w:val="-9"/>
          <w:sz w:val="45"/>
          <w:szCs w:val="45"/>
        </w:rPr>
      </w:pPr>
      <w:r>
        <w:rPr>
          <w:rFonts w:hint="eastAsia" w:ascii="宋体" w:hAnsi="宋体" w:eastAsia="宋体" w:cs="宋体"/>
          <w:spacing w:val="-9"/>
          <w:sz w:val="45"/>
          <w:szCs w:val="45"/>
        </w:rPr>
        <w:t>免予行政强制事项清单（</w:t>
      </w:r>
      <w:r>
        <w:rPr>
          <w:rFonts w:hint="eastAsia" w:ascii="宋体" w:hAnsi="宋体" w:eastAsia="宋体" w:cs="宋体"/>
          <w:spacing w:val="-9"/>
          <w:sz w:val="45"/>
          <w:szCs w:val="45"/>
          <w:lang w:val="en-US" w:eastAsia="zh-CN"/>
        </w:rPr>
        <w:t>5</w:t>
      </w:r>
      <w:r>
        <w:rPr>
          <w:rFonts w:hint="eastAsia" w:ascii="宋体" w:hAnsi="宋体" w:eastAsia="宋体" w:cs="宋体"/>
          <w:spacing w:val="-9"/>
          <w:sz w:val="45"/>
          <w:szCs w:val="45"/>
        </w:rPr>
        <w:t>项）</w:t>
      </w:r>
    </w:p>
    <w:p>
      <w:pPr>
        <w:spacing w:before="95" w:line="219" w:lineRule="auto"/>
        <w:ind w:left="194"/>
        <w:rPr>
          <w:rFonts w:hint="default" w:ascii="宋体" w:hAnsi="宋体" w:eastAsia="宋体" w:cs="宋体"/>
          <w:spacing w:val="-9"/>
          <w:sz w:val="45"/>
          <w:szCs w:val="45"/>
          <w:lang w:val="en-US" w:eastAsia="zh-CN"/>
        </w:rPr>
      </w:pPr>
      <w:r>
        <w:rPr>
          <w:rFonts w:ascii="宋体" w:hAnsi="宋体" w:eastAsia="宋体" w:cs="宋体"/>
          <w:spacing w:val="9"/>
          <w:sz w:val="29"/>
          <w:szCs w:val="29"/>
        </w:rPr>
        <w:t>单位：</w:t>
      </w:r>
      <w:r>
        <w:rPr>
          <w:rFonts w:hint="eastAsia" w:ascii="宋体" w:hAnsi="宋体" w:eastAsia="宋体" w:cs="宋体"/>
          <w:spacing w:val="9"/>
          <w:sz w:val="29"/>
          <w:szCs w:val="29"/>
          <w:lang w:val="en-US" w:eastAsia="zh-CN"/>
        </w:rPr>
        <w:t>昆明市五华区交通运输局</w:t>
      </w:r>
    </w:p>
    <w:tbl>
      <w:tblPr>
        <w:tblStyle w:val="4"/>
        <w:tblW w:w="136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14"/>
        <w:gridCol w:w="1857"/>
        <w:gridCol w:w="7116"/>
        <w:gridCol w:w="2275"/>
        <w:gridCol w:w="1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4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华文中宋" w:hAnsi="华文中宋" w:eastAsia="华文中宋" w:cs="华文中宋"/>
                <w:i w:val="0"/>
                <w:snapToGrid w:val="0"/>
                <w:color w:val="000000"/>
                <w:kern w:val="0"/>
                <w:sz w:val="24"/>
                <w:szCs w:val="24"/>
                <w:u w:val="none"/>
                <w:lang w:val="en-US" w:eastAsia="zh-CN" w:bidi="ar"/>
              </w:rPr>
            </w:pPr>
            <w:r>
              <w:rPr>
                <w:rFonts w:hint="default" w:ascii="华文中宋" w:hAnsi="华文中宋" w:eastAsia="华文中宋" w:cs="华文中宋"/>
                <w:i w:val="0"/>
                <w:snapToGrid w:val="0"/>
                <w:color w:val="000000"/>
                <w:kern w:val="0"/>
                <w:sz w:val="24"/>
                <w:szCs w:val="24"/>
                <w:u w:val="none"/>
                <w:lang w:val="en-US" w:eastAsia="zh-CN" w:bidi="ar"/>
              </w:rPr>
              <w:t>序</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华文中宋" w:hAnsi="华文中宋" w:eastAsia="华文中宋" w:cs="华文中宋"/>
                <w:i w:val="0"/>
                <w:color w:val="000000"/>
                <w:sz w:val="24"/>
                <w:szCs w:val="24"/>
                <w:u w:val="none"/>
              </w:rPr>
            </w:pPr>
            <w:r>
              <w:rPr>
                <w:rFonts w:hint="default" w:ascii="华文中宋" w:hAnsi="华文中宋" w:eastAsia="华文中宋" w:cs="华文中宋"/>
                <w:i w:val="0"/>
                <w:snapToGrid w:val="0"/>
                <w:color w:val="000000"/>
                <w:kern w:val="0"/>
                <w:sz w:val="24"/>
                <w:szCs w:val="24"/>
                <w:u w:val="none"/>
                <w:lang w:val="en-US" w:eastAsia="zh-CN" w:bidi="ar"/>
              </w:rPr>
              <w:t>号</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华文中宋" w:hAnsi="华文中宋" w:eastAsia="华文中宋" w:cs="华文中宋"/>
                <w:i w:val="0"/>
                <w:color w:val="000000"/>
                <w:sz w:val="24"/>
                <w:szCs w:val="24"/>
                <w:u w:val="none"/>
              </w:rPr>
            </w:pPr>
            <w:r>
              <w:rPr>
                <w:rFonts w:hint="default" w:ascii="华文中宋" w:hAnsi="华文中宋" w:eastAsia="华文中宋" w:cs="华文中宋"/>
                <w:i w:val="0"/>
                <w:snapToGrid w:val="0"/>
                <w:color w:val="000000"/>
                <w:kern w:val="0"/>
                <w:sz w:val="24"/>
                <w:szCs w:val="24"/>
                <w:u w:val="none"/>
                <w:lang w:val="en-US" w:eastAsia="zh-CN" w:bidi="ar"/>
              </w:rPr>
              <w:t>违法行为</w:t>
            </w:r>
          </w:p>
        </w:tc>
        <w:tc>
          <w:tcPr>
            <w:tcW w:w="7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华文中宋" w:hAnsi="华文中宋" w:eastAsia="华文中宋" w:cs="华文中宋"/>
                <w:i w:val="0"/>
                <w:color w:val="000000"/>
                <w:sz w:val="24"/>
                <w:szCs w:val="24"/>
                <w:u w:val="none"/>
              </w:rPr>
            </w:pPr>
            <w:r>
              <w:rPr>
                <w:rFonts w:hint="default" w:ascii="华文中宋" w:hAnsi="华文中宋" w:eastAsia="华文中宋" w:cs="华文中宋"/>
                <w:i w:val="0"/>
                <w:snapToGrid w:val="0"/>
                <w:color w:val="000000"/>
                <w:kern w:val="0"/>
                <w:sz w:val="24"/>
                <w:szCs w:val="24"/>
                <w:u w:val="none"/>
                <w:lang w:val="en-US" w:eastAsia="zh-CN" w:bidi="ar"/>
              </w:rPr>
              <w:t>法律依据</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华文中宋" w:hAnsi="华文中宋" w:eastAsia="华文中宋" w:cs="华文中宋"/>
                <w:i w:val="0"/>
                <w:color w:val="000000"/>
                <w:sz w:val="24"/>
                <w:szCs w:val="24"/>
                <w:u w:val="none"/>
              </w:rPr>
            </w:pPr>
            <w:r>
              <w:rPr>
                <w:rFonts w:hint="default" w:ascii="华文中宋" w:hAnsi="华文中宋" w:eastAsia="华文中宋" w:cs="华文中宋"/>
                <w:i w:val="0"/>
                <w:snapToGrid w:val="0"/>
                <w:color w:val="000000"/>
                <w:kern w:val="0"/>
                <w:sz w:val="24"/>
                <w:szCs w:val="24"/>
                <w:u w:val="none"/>
                <w:lang w:val="en-US" w:eastAsia="zh-CN" w:bidi="ar"/>
              </w:rPr>
              <w:t>适用情形</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华文中宋" w:hAnsi="华文中宋" w:eastAsia="华文中宋" w:cs="华文中宋"/>
                <w:i w:val="0"/>
                <w:color w:val="000000"/>
                <w:sz w:val="24"/>
                <w:szCs w:val="24"/>
                <w:u w:val="none"/>
              </w:rPr>
            </w:pPr>
            <w:r>
              <w:rPr>
                <w:rFonts w:hint="default" w:ascii="华文中宋" w:hAnsi="华文中宋" w:eastAsia="华文中宋" w:cs="华文中宋"/>
                <w:i w:val="0"/>
                <w:snapToGrid w:val="0"/>
                <w:color w:val="000000"/>
                <w:kern w:val="0"/>
                <w:sz w:val="24"/>
                <w:szCs w:val="24"/>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9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对安全生产违法行为场所的查封、财物的扣押</w:t>
            </w:r>
          </w:p>
        </w:tc>
        <w:tc>
          <w:tcPr>
            <w:tcW w:w="7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法律：《中华人民共和国安全生产法》第六十二条 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（四）对有根据认为不符合保障安全生产的国家标准或者行业标准的设施、设备、器</w:t>
            </w:r>
            <w:bookmarkStart w:id="0" w:name="_GoBack"/>
            <w:bookmarkEnd w:id="0"/>
            <w:r>
              <w:rPr>
                <w:rFonts w:hint="eastAsia" w:ascii="宋体" w:hAnsi="宋体" w:eastAsia="宋体" w:cs="宋体"/>
                <w:i w:val="0"/>
                <w:snapToGrid w:val="0"/>
                <w:color w:val="000000"/>
                <w:kern w:val="0"/>
                <w:sz w:val="24"/>
                <w:szCs w:val="24"/>
                <w:u w:val="none"/>
                <w:lang w:val="en-US" w:eastAsia="zh-CN" w:bidi="ar"/>
              </w:rPr>
              <w:t xml:space="preserve">材以及违法生产、储存、使用、经营、运输的危险物品予以查封或者扣押，对违法生产、储存、使用、经营危险物品的作业场所予以查封，并依法作出处理决定。 </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违法行为情节显著轻微或者没有明显社会危害的；</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2</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责令违法上路行驶的车辆停驶</w:t>
            </w:r>
          </w:p>
        </w:tc>
        <w:tc>
          <w:tcPr>
            <w:tcW w:w="7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法律：《中华人民共和国公路法》第四十三条第二款　县级以上地方人民政府交通主管部门应当认真履行职责，依法做好公路保护工作，并努力采用科学的管理方法和先进的技术手段，提高公路管理水平，逐步完善公路服务设施，保障公路的完好、安全和畅通。第八十五条第二款 对公路造成较大损害的车辆，必须立即停车，保护现场，报告公路管理机构，接受公路管理机构的调查、处理后方得驶离。</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违法行为情节显著轻微或者没有明显社会危害的。</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3</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对违法行驶公路的车辆或者造成公路、公路附属设施损坏的车辆的扣押车辆</w:t>
            </w:r>
          </w:p>
        </w:tc>
        <w:tc>
          <w:tcPr>
            <w:tcW w:w="7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行政法规：《公路安全保护条例》第六十五条第一款 违反本条例的规定，经批准进行超限运输的车辆，未按照指定时间、路线和速度行驶的，由公路管理机构或者公安机关交通管理部门责令改正；拒不改正的，公路管理机构或者公安机关交通管理部门可以扣留车辆。第二款  未随车携带超限运输车辆通行证的，由公路管理机构扣留车辆，责令车辆驾驶人提供超限运输车辆通行证或者相应的证明。</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第七十二条第一款　造成公路、公路附属设施损坏，拒不接受公路管理机构现场调查处理的，公路管理机构可以扣留车辆、工具。</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造成公路、公路附属设施损坏但不严重，经教育能够改正的</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8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4</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强制拖离或者扣押违反超限检测规定的车辆</w:t>
            </w:r>
          </w:p>
        </w:tc>
        <w:tc>
          <w:tcPr>
            <w:tcW w:w="7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行政法规：《公路安全保护条例》（国务院令第593号）第六十七条　违反本条例的规定，有下列行为之一的，由公路管理机构强制拖离或者扣留车辆，处3万元以下的罚款：（一）采取故意堵塞固定超限检测站点通行车道、强行通过固定超限检测站点等方式扰乱超限检测秩序的；（二）采取短途驳载等方式逃避超限检测的。</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经制止能够及时改正，未发生严重社会影响的</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9"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5</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强行拆除违法公路标识或者建筑物、地面构筑物、管线、电缆等</w:t>
            </w:r>
          </w:p>
        </w:tc>
        <w:tc>
          <w:tcPr>
            <w:tcW w:w="7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法律：《中华人民共和国公路法》第七十九条　违反本法第五十四条规定，在公路用地范围内设置公路标志以外的其他标志的，由交通主管部门责令限期拆除，可以处二万元以下的罚款；逾期不拆除的，由交通主管部门拆除，有关费用由设置者负担。　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经责令改正，当事人限期拆除的。</w:t>
            </w:r>
          </w:p>
        </w:tc>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bl>
    <w:p>
      <w:pPr>
        <w:rPr>
          <w:sz w:val="24"/>
          <w:szCs w:val="24"/>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76EC1"/>
    <w:rsid w:val="0DAE7476"/>
    <w:rsid w:val="0E3D2756"/>
    <w:rsid w:val="148C0EE9"/>
    <w:rsid w:val="166E4307"/>
    <w:rsid w:val="1A9526D0"/>
    <w:rsid w:val="1F2D2041"/>
    <w:rsid w:val="27A5591C"/>
    <w:rsid w:val="27B057FF"/>
    <w:rsid w:val="290643AA"/>
    <w:rsid w:val="2BAF4858"/>
    <w:rsid w:val="2E066D3D"/>
    <w:rsid w:val="2EDB4768"/>
    <w:rsid w:val="30994ED6"/>
    <w:rsid w:val="358B446F"/>
    <w:rsid w:val="3B227298"/>
    <w:rsid w:val="3FF309E6"/>
    <w:rsid w:val="40233175"/>
    <w:rsid w:val="40BF7EDF"/>
    <w:rsid w:val="41BB6AF6"/>
    <w:rsid w:val="45627CEA"/>
    <w:rsid w:val="489655B9"/>
    <w:rsid w:val="55416913"/>
    <w:rsid w:val="55804A4D"/>
    <w:rsid w:val="58064DB2"/>
    <w:rsid w:val="5D0075C4"/>
    <w:rsid w:val="613F11D2"/>
    <w:rsid w:val="63750275"/>
    <w:rsid w:val="63F13FEE"/>
    <w:rsid w:val="65FC6A93"/>
    <w:rsid w:val="6A6773DA"/>
    <w:rsid w:val="6C8907B9"/>
    <w:rsid w:val="6CC403CE"/>
    <w:rsid w:val="6F435216"/>
    <w:rsid w:val="6F4D7574"/>
    <w:rsid w:val="6F601958"/>
    <w:rsid w:val="70AC7BAB"/>
    <w:rsid w:val="79F4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qFormat/>
    <w:uiPriority w:val="0"/>
    <w:rPr>
      <w:rFonts w:hint="eastAsia" w:ascii="宋体" w:hAnsi="宋体" w:eastAsia="宋体" w:cs="宋体"/>
      <w:color w:val="000000"/>
      <w:sz w:val="22"/>
      <w:szCs w:val="22"/>
      <w:u w:val="none"/>
    </w:rPr>
  </w:style>
  <w:style w:type="character" w:customStyle="1" w:styleId="7">
    <w:name w:val="font71"/>
    <w:basedOn w:val="5"/>
    <w:qFormat/>
    <w:uiPriority w:val="0"/>
    <w:rPr>
      <w:rFonts w:hint="eastAsia" w:ascii="宋体" w:hAnsi="宋体" w:eastAsia="宋体" w:cs="宋体"/>
      <w:color w:val="000000"/>
      <w:sz w:val="22"/>
      <w:szCs w:val="22"/>
      <w:u w:val="none"/>
    </w:rPr>
  </w:style>
  <w:style w:type="character" w:customStyle="1" w:styleId="8">
    <w:name w:val="font31"/>
    <w:basedOn w:val="5"/>
    <w:qFormat/>
    <w:uiPriority w:val="0"/>
    <w:rPr>
      <w:rFonts w:hint="eastAsia" w:ascii="宋体" w:hAnsi="宋体" w:eastAsia="宋体" w:cs="宋体"/>
      <w:color w:val="000000"/>
      <w:sz w:val="22"/>
      <w:szCs w:val="22"/>
      <w:u w:val="none"/>
    </w:rPr>
  </w:style>
  <w:style w:type="character" w:customStyle="1" w:styleId="9">
    <w:name w:val="font41"/>
    <w:basedOn w:val="5"/>
    <w:qFormat/>
    <w:uiPriority w:val="0"/>
    <w:rPr>
      <w:rFonts w:hint="eastAsia" w:ascii="宋体" w:hAnsi="宋体" w:eastAsia="宋体" w:cs="宋体"/>
      <w:color w:val="000000"/>
      <w:sz w:val="22"/>
      <w:szCs w:val="22"/>
      <w:u w:val="none"/>
    </w:rPr>
  </w:style>
  <w:style w:type="character" w:customStyle="1" w:styleId="10">
    <w:name w:val="font11"/>
    <w:basedOn w:val="5"/>
    <w:qFormat/>
    <w:uiPriority w:val="0"/>
    <w:rPr>
      <w:rFonts w:hint="eastAsia" w:ascii="宋体" w:hAnsi="宋体" w:eastAsia="宋体" w:cs="宋体"/>
      <w:color w:val="000000"/>
      <w:sz w:val="22"/>
      <w:szCs w:val="22"/>
      <w:u w:val="none"/>
    </w:rPr>
  </w:style>
  <w:style w:type="character" w:customStyle="1" w:styleId="11">
    <w:name w:val="font61"/>
    <w:basedOn w:val="5"/>
    <w:qFormat/>
    <w:uiPriority w:val="0"/>
    <w:rPr>
      <w:rFonts w:hint="eastAsia" w:ascii="宋体" w:hAnsi="宋体" w:eastAsia="宋体" w:cs="宋体"/>
      <w:color w:val="000000"/>
      <w:sz w:val="22"/>
      <w:szCs w:val="22"/>
      <w:u w:val="none"/>
    </w:rPr>
  </w:style>
  <w:style w:type="character" w:customStyle="1" w:styleId="12">
    <w:name w:val="font51"/>
    <w:basedOn w:val="5"/>
    <w:qFormat/>
    <w:uiPriority w:val="0"/>
    <w:rPr>
      <w:rFonts w:hint="eastAsia" w:ascii="宋体" w:hAnsi="宋体" w:eastAsia="宋体" w:cs="宋体"/>
      <w:color w:val="FF0000"/>
      <w:sz w:val="22"/>
      <w:szCs w:val="22"/>
      <w:u w:val="none"/>
    </w:rPr>
  </w:style>
  <w:style w:type="character" w:customStyle="1" w:styleId="13">
    <w:name w:val="font21"/>
    <w:basedOn w:val="5"/>
    <w:qFormat/>
    <w:uiPriority w:val="0"/>
    <w:rPr>
      <w:rFonts w:hint="eastAsia" w:ascii="宋体" w:hAnsi="宋体" w:eastAsia="宋体" w:cs="宋体"/>
      <w:color w:val="000000"/>
      <w:sz w:val="22"/>
      <w:szCs w:val="22"/>
      <w:u w:val="none"/>
    </w:rPr>
  </w:style>
  <w:style w:type="character" w:customStyle="1" w:styleId="14">
    <w:name w:val="font8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2022-08-15T01:26:00Z</dcterms:created>
  <dc:creator>政策法规</dc:creator>
  <cp:lastModifiedBy>政策法规</cp:lastModifiedBy>
  <dcterms:modified xsi:type="dcterms:W3CDTF">2022-09-05T01:48:10Z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