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附件2：单位整体支出绩效评价报告（范本）</w:t>
      </w:r>
    </w:p>
    <w:p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中国共产主义青年团昆明市五华区委员会单位</w:t>
      </w:r>
      <w:r>
        <w:rPr>
          <w:rFonts w:ascii="黑体" w:hAnsi="黑体" w:eastAsia="黑体"/>
          <w:bCs/>
          <w:sz w:val="52"/>
          <w:szCs w:val="52"/>
        </w:rPr>
        <w:t>20</w:t>
      </w:r>
      <w:r>
        <w:rPr>
          <w:rFonts w:hint="eastAsia" w:ascii="黑体" w:hAnsi="黑体" w:eastAsia="黑体"/>
          <w:bCs/>
          <w:sz w:val="52"/>
          <w:szCs w:val="52"/>
        </w:rPr>
        <w:t>21年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单位整体支出绩效自评报告</w:t>
      </w:r>
    </w:p>
    <w:p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/>
          <w:b/>
          <w:bCs/>
          <w:sz w:val="21"/>
          <w:szCs w:val="21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33.5pt;margin-top:16.65pt;height:0pt;width:272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项目名称：</w:t>
      </w:r>
      <w:r>
        <w:rPr>
          <w:rFonts w:hint="eastAsia" w:ascii="Times New Roman" w:hAnsi="Times New Roman" w:eastAsia="黑体" w:cs="黑体"/>
          <w:b/>
          <w:bCs/>
          <w:sz w:val="21"/>
          <w:szCs w:val="21"/>
        </w:rPr>
        <w:t>中国共产主义青年团昆明市五华区委员会单位整体支出</w:t>
      </w: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 w:cs="黑体"/>
          <w:b/>
          <w:bCs/>
          <w:sz w:val="21"/>
          <w:szCs w:val="21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7" o:spid="_x0000_s1027" o:spt="32" type="#_x0000_t32" style="position:absolute;left:0pt;margin-left:133.5pt;margin-top:17.15pt;height:0pt;width:272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单位名称：</w:t>
      </w:r>
      <w:r>
        <w:rPr>
          <w:rFonts w:hint="eastAsia" w:ascii="Times New Roman" w:hAnsi="Times New Roman" w:eastAsia="黑体" w:cs="黑体"/>
          <w:b/>
          <w:bCs/>
          <w:sz w:val="21"/>
          <w:szCs w:val="21"/>
        </w:rPr>
        <w:t>中国共产主义青年团昆明市五华区委员会</w:t>
      </w:r>
    </w:p>
    <w:p>
      <w:pPr>
        <w:adjustRightInd w:val="0"/>
        <w:snapToGrid w:val="0"/>
        <w:spacing w:line="360" w:lineRule="auto"/>
        <w:ind w:left="1260" w:leftChars="600"/>
        <w:rPr>
          <w:rFonts w:ascii="Times New Roman" w:hAnsi="Times New Roman" w:eastAsia="黑体"/>
          <w:b/>
          <w:bCs/>
          <w:sz w:val="21"/>
          <w:szCs w:val="21"/>
        </w:rPr>
      </w:pPr>
      <w:r>
        <w:rPr>
          <w:rFonts w:ascii="Times New Roman" w:hAnsi="Times New Roman" w:eastAsia="黑体" w:cs="黑体"/>
          <w:b/>
          <w:bCs/>
          <w:sz w:val="28"/>
          <w:szCs w:val="28"/>
        </w:rPr>
        <w:pict>
          <v:shape id="_x0000_s1028" o:spid="_x0000_s1028" o:spt="32" type="#_x0000_t32" style="position:absolute;left:0pt;margin-left:133.5pt;margin-top:19.95pt;height:0pt;width:272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评价机构：</w:t>
      </w:r>
      <w:r>
        <w:rPr>
          <w:rFonts w:hint="eastAsia" w:ascii="Times New Roman" w:hAnsi="Times New Roman" w:eastAsia="黑体" w:cs="黑体"/>
          <w:b/>
          <w:bCs/>
          <w:sz w:val="21"/>
          <w:szCs w:val="21"/>
        </w:rPr>
        <w:t>中国共产主义青年团昆明市五华区委员会</w:t>
      </w:r>
    </w:p>
    <w:p>
      <w:pPr>
        <w:spacing w:line="360" w:lineRule="auto"/>
        <w:ind w:left="1218" w:leftChars="580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22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3</w:t>
      </w:r>
      <w:r>
        <w:rPr>
          <w:rFonts w:hint="eastAsia" w:ascii="Times New Roman" w:hAnsi="Times New Roman" w:eastAsia="黑体" w:cs="黑体"/>
          <w:b/>
          <w:bCs/>
          <w:sz w:val="28"/>
          <w:szCs w:val="28"/>
        </w:rPr>
        <w:t>月</w:t>
      </w: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sz w:val="28"/>
          <w:szCs w:val="28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1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7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72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720" w:type="dxa"/>
            <w:vAlign w:val="center"/>
          </w:tcPr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522" w:type="dxa"/>
            <w:vAlign w:val="center"/>
          </w:tcPr>
          <w:p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  <w:t>组长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李欣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书记</w:t>
            </w:r>
          </w:p>
        </w:tc>
        <w:tc>
          <w:tcPr>
            <w:tcW w:w="17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团区委</w:t>
            </w:r>
          </w:p>
        </w:tc>
        <w:tc>
          <w:tcPr>
            <w:tcW w:w="1522" w:type="dxa"/>
          </w:tcPr>
          <w:p>
            <w:pPr>
              <w:pStyle w:val="11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  <w:t>副组长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刘冰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副书记</w:t>
            </w:r>
          </w:p>
        </w:tc>
        <w:tc>
          <w:tcPr>
            <w:tcW w:w="17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团区委</w:t>
            </w:r>
          </w:p>
        </w:tc>
        <w:tc>
          <w:tcPr>
            <w:tcW w:w="1522" w:type="dxa"/>
          </w:tcPr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/>
              </w:rPr>
              <w:t>成员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胡渝云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办公室主任</w:t>
            </w:r>
          </w:p>
        </w:tc>
        <w:tc>
          <w:tcPr>
            <w:tcW w:w="17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区关工委</w:t>
            </w:r>
          </w:p>
        </w:tc>
        <w:tc>
          <w:tcPr>
            <w:tcW w:w="1522" w:type="dxa"/>
          </w:tcPr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成员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刘雁飞</w:t>
            </w:r>
          </w:p>
        </w:tc>
        <w:tc>
          <w:tcPr>
            <w:tcW w:w="16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出纳</w:t>
            </w:r>
          </w:p>
        </w:tc>
        <w:tc>
          <w:tcPr>
            <w:tcW w:w="1720" w:type="dxa"/>
          </w:tcPr>
          <w:p>
            <w:pPr>
              <w:pStyle w:val="11"/>
              <w:widowControl w:val="0"/>
              <w:spacing w:after="0" w:line="36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CN"/>
              </w:rPr>
              <w:t>团区委办公室</w:t>
            </w:r>
          </w:p>
        </w:tc>
        <w:tc>
          <w:tcPr>
            <w:tcW w:w="1522" w:type="dxa"/>
          </w:tcPr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color w:val="auto"/>
                <w:kern w:val="2"/>
                <w:sz w:val="24"/>
                <w:szCs w:val="24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1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1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1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>
      <w:pPr>
        <w:pStyle w:val="11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>
      <w:pPr>
        <w:pStyle w:val="11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jc w:val="center"/>
        <w:rPr>
          <w:rFonts w:ascii="方正小标宋_GBK" w:hAnsi="Times New Roman" w:eastAsia="方正小标宋_GBK" w:cs="Times New Roman"/>
          <w:b w:val="0"/>
          <w:color w:val="auto"/>
        </w:rPr>
      </w:pPr>
      <w:r>
        <w:rPr>
          <w:rFonts w:hint="eastAsia" w:ascii="方正小标宋_GBK" w:hAnsi="Times New Roman" w:eastAsia="方正小标宋_GBK" w:cs="宋体"/>
          <w:b w:val="0"/>
          <w:color w:val="auto"/>
          <w:lang w:val="zh-CN"/>
        </w:rPr>
        <w:t>目录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二、单位概况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（一）单位机构设置、编制</w:t>
      </w:r>
      <w:r>
        <w:rPr>
          <w:rFonts w:hint="eastAsia" w:ascii="黑体" w:hAnsi="黑体" w:eastAsia="黑体"/>
          <w:szCs w:val="32"/>
        </w:rPr>
        <w:tab/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（二）单位职能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（三）单位工作完成情况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（四）单位管理制度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（五）单位资金来源及使用情况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（六）政府采购情况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（七）固定资产情况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三、绩效目标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四、评价思路和过程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（一）评价思路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（二）评价目的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（三）评价依据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（四）评价对象及评价时段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五、评价结论和绩效分析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（二）具体绩效分析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六、主要经验做法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八、改进措施及建议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0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60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600" w:lineRule="exact"/>
        <w:ind w:firstLine="420" w:firstLineChars="200"/>
        <w:jc w:val="center"/>
        <w:rPr>
          <w:rFonts w:ascii="方正小标宋_GBK" w:hAnsi="黑体" w:eastAsia="方正小标宋_GBK"/>
          <w:szCs w:val="32"/>
        </w:rPr>
      </w:pPr>
    </w:p>
    <w:p>
      <w:pPr>
        <w:spacing w:line="520" w:lineRule="exact"/>
        <w:ind w:firstLine="560" w:firstLineChars="200"/>
        <w:jc w:val="center"/>
        <w:rPr>
          <w:rFonts w:ascii="方正小标宋_GBK" w:eastAsia="方正小标宋_GBK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方正小标宋_GBK" w:eastAsia="方正小标宋_GBK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方正小标宋_GBK" w:eastAsia="方正小标宋_GBK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方正小标宋_GBK" w:eastAsia="方正小标宋_GBK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方正小标宋_GBK" w:eastAsia="方正小标宋_GBK"/>
          <w:sz w:val="28"/>
          <w:szCs w:val="28"/>
        </w:rPr>
      </w:pPr>
    </w:p>
    <w:p>
      <w:pPr>
        <w:spacing w:line="520" w:lineRule="exact"/>
        <w:ind w:firstLine="720" w:firstLineChars="20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中国共产主义青年团昆明市五华区委员会单位2021年度单位整体支出绩效评价报告</w:t>
      </w:r>
    </w:p>
    <w:p>
      <w:pPr>
        <w:topLinePunct/>
        <w:spacing w:line="520" w:lineRule="exact"/>
        <w:ind w:firstLine="525" w:firstLineChars="250"/>
        <w:rPr>
          <w:rFonts w:ascii="黑体" w:eastAsia="黑体"/>
          <w:szCs w:val="32"/>
        </w:rPr>
      </w:pPr>
    </w:p>
    <w:p>
      <w:pPr>
        <w:topLinePunct/>
        <w:spacing w:line="520" w:lineRule="exact"/>
        <w:ind w:firstLine="800" w:firstLineChars="2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一、单位概况</w:t>
      </w:r>
    </w:p>
    <w:p>
      <w:pPr>
        <w:topLinePunct/>
        <w:spacing w:line="520" w:lineRule="exact"/>
        <w:ind w:firstLine="8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（一）单位机构设置、编制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中国共产主义青年团昆明市五华区委员会（下设昆明市五华区关心下一代工作委员会办公室）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中国共产主义青年团昆明市五华区委员会核定行政编制4名，其中：领导职数1正2副；工勤编制1名。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昆明市五华区关心下一代工作委员会核定2名参照公务员管理的事业编制。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（二）单位职能</w:t>
      </w:r>
    </w:p>
    <w:p>
      <w:pPr>
        <w:spacing w:line="60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1.贯彻执行和宣传党的基本路线、方针、政策，围绕区委的中心工作，结合上级团委的工作部署开展团的活动；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2.提出全区共青团工作的指导思想，组织制定全区共青团工作计划，抓好团干部队伍的建设；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3.及时掌握全区共青团工作发展情况，经常性地深入基层进行业务指导，做好检查督促，及时总结和推广基层团的工作经验，调查青年热点问题和青年思想状况，进行理论研究；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4.做好“推优”工作，负责指导区属团组织的换届选举工作及其他组织工作；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5.负责区属团干部的培训，指导基层团组织开展团员青年的教育和培训；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6.抓好“青年岗位能手”活动，指导基层团组织围绕本职业务，广泛开展岗位练兵、技术比武的等活动；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7.深入开展“青年文明号”的创建活动，深化“青年志愿者”行动，继续开展好“希望工程”活动，使“讲文明、树新风”落到实处；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8.坚持用健康向上，丰富多彩的文体活动服务青年，教育青年；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9.负责对少先队总辅导员的聘请、考核和管理等工作以及少先队工作的组织，筹备工作，指导各学校少先队大队开展工作；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10.做好团区委日常的宣传工作，内勤工作；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11.做好青少年的维权工作和其他必要的配合性工作；</w:t>
      </w:r>
    </w:p>
    <w:p>
      <w:pPr>
        <w:ind w:firstLine="640" w:firstLineChars="200"/>
        <w:outlineLvl w:val="0"/>
        <w:rPr>
          <w:rFonts w:ascii="楷体" w:hAnsi="楷体" w:eastAsia="楷体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12.完成团市委、区委布置的其他工作。</w:t>
      </w:r>
    </w:p>
    <w:p>
      <w:pPr>
        <w:topLinePunct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（三）单位工作完成情况。</w:t>
      </w:r>
    </w:p>
    <w:p>
      <w:pPr>
        <w:spacing w:line="560" w:lineRule="exact"/>
        <w:ind w:firstLine="640" w:firstLineChars="200"/>
        <w:rPr>
          <w:rStyle w:val="16"/>
          <w:rFonts w:ascii="仿宋_GB2312" w:hAnsi="楷体" w:eastAsia="仿宋_GB2312" w:cstheme="minorBidi"/>
          <w:color w:val="000000"/>
          <w:sz w:val="32"/>
          <w:szCs w:val="32"/>
        </w:rPr>
      </w:pPr>
      <w:r>
        <w:rPr>
          <w:rStyle w:val="16"/>
          <w:rFonts w:hint="eastAsia" w:ascii="仿宋_GB2312" w:hAnsi="楷体" w:eastAsia="仿宋_GB2312" w:cstheme="minorBidi"/>
          <w:color w:val="000000"/>
          <w:sz w:val="32"/>
          <w:szCs w:val="32"/>
        </w:rPr>
        <w:t>一是圆满完成社区团组织换届工作。五华区93个社区团组织换届选举顺利完成，共选举产生团支部书记93名，副书记44名，委员331名；其中，团支部书记35岁以下有93名，占比100%，进社区“两委”的有93名，占比100%，大专及以上学历有83名，占比89.25%。团干部队伍更加年轻化、专业化，各项规范和要求体现出党建带团建、团建促党建的工作要求，为基层团组织和广大团员围绕党政工作中心，探索创新思路，发挥后备军担当，打下了坚实基础。</w:t>
      </w:r>
    </w:p>
    <w:p>
      <w:pPr>
        <w:spacing w:line="560" w:lineRule="exact"/>
        <w:ind w:firstLine="640" w:firstLineChars="200"/>
        <w:rPr>
          <w:rStyle w:val="16"/>
          <w:rFonts w:ascii="仿宋_GB2312" w:hAnsi="楷体" w:eastAsia="仿宋_GB2312" w:cstheme="minorBidi"/>
          <w:color w:val="000000"/>
          <w:sz w:val="32"/>
          <w:szCs w:val="32"/>
        </w:rPr>
      </w:pPr>
      <w:r>
        <w:rPr>
          <w:rStyle w:val="16"/>
          <w:rFonts w:hint="eastAsia" w:ascii="仿宋_GB2312" w:hAnsi="楷体" w:eastAsia="仿宋_GB2312" w:cstheme="minorBidi"/>
          <w:color w:val="000000"/>
          <w:sz w:val="32"/>
          <w:szCs w:val="32"/>
        </w:rPr>
        <w:t>二是优化“全团抓学校”工作机制。完善学校党建带团建、队建机制，加强团教协作。围绕学校领域统筹优化组织建设、思想引领、骨干培育、实践教育、志愿服务等重点工作, 形成条块结合、分工协作的运行机制, 推动团内工作资源和工作力量向学校领域倾斜。压实中学团组织意识形态工作责任制，及时掌握学生思想动态，常态化加强学生社团规范管理, 推动学生社团健康发展。</w:t>
      </w:r>
    </w:p>
    <w:p>
      <w:pPr>
        <w:spacing w:line="560" w:lineRule="exact"/>
        <w:ind w:firstLine="640" w:firstLineChars="200"/>
        <w:rPr>
          <w:rStyle w:val="16"/>
          <w:rFonts w:ascii="仿宋_GB2312" w:hAnsi="楷体" w:eastAsia="仿宋_GB2312" w:cstheme="minorBidi"/>
          <w:color w:val="000000"/>
          <w:sz w:val="32"/>
          <w:szCs w:val="32"/>
        </w:rPr>
      </w:pPr>
      <w:r>
        <w:rPr>
          <w:rStyle w:val="16"/>
          <w:rFonts w:hint="eastAsia" w:ascii="仿宋_GB2312" w:hAnsi="楷体" w:eastAsia="仿宋_GB2312" w:cstheme="minorBidi"/>
          <w:color w:val="000000"/>
          <w:sz w:val="32"/>
          <w:szCs w:val="32"/>
        </w:rPr>
        <w:t>三是持续推动社会领域团组织建设。加大对新兴领域青年的组织联系，全年新增社会领域团组织55个，结合行业特色，组织新兴领域青年开展好“学党史、强信念、跟党走”学习教育、打造“五三青年艺术节”、蓝花楹文创大赛、大象青年读书会等品牌活动，积极推进行业系统团的建设，进一步扩大组织覆盖。</w:t>
      </w:r>
    </w:p>
    <w:p>
      <w:pPr>
        <w:spacing w:line="560" w:lineRule="exact"/>
        <w:ind w:firstLine="640" w:firstLineChars="200"/>
        <w:rPr>
          <w:rStyle w:val="16"/>
          <w:rFonts w:ascii="仿宋_GB2312" w:hAnsi="楷体" w:eastAsia="仿宋_GB2312" w:cstheme="minorBidi"/>
          <w:color w:val="000000"/>
          <w:sz w:val="32"/>
          <w:szCs w:val="32"/>
        </w:rPr>
      </w:pPr>
      <w:r>
        <w:rPr>
          <w:rStyle w:val="16"/>
          <w:rFonts w:hint="eastAsia" w:ascii="仿宋_GB2312" w:hAnsi="楷体" w:eastAsia="仿宋_GB2312" w:cstheme="minorBidi"/>
          <w:color w:val="000000"/>
          <w:sz w:val="32"/>
          <w:szCs w:val="32"/>
        </w:rPr>
        <w:t>四是扎实开展“智慧团建”工作。搭建网上团建“组织树”体系，全面完成全区团员及团组织的基础团务信息数据录入，按照工作要求，做好网上党史学习教育、主题团日等工作，筑牢互联网联系覆盖青年基础。</w:t>
      </w:r>
    </w:p>
    <w:p>
      <w:pPr>
        <w:spacing w:line="560" w:lineRule="exact"/>
        <w:ind w:firstLine="640" w:firstLineChars="200"/>
        <w:rPr>
          <w:rStyle w:val="16"/>
          <w:rFonts w:ascii="仿宋_GB2312" w:hAnsi="楷体" w:eastAsia="仿宋_GB2312" w:cstheme="minorBidi"/>
          <w:color w:val="000000"/>
          <w:sz w:val="32"/>
          <w:szCs w:val="32"/>
        </w:rPr>
      </w:pPr>
      <w:r>
        <w:rPr>
          <w:rStyle w:val="16"/>
          <w:rFonts w:hint="eastAsia" w:ascii="仿宋_GB2312" w:hAnsi="楷体" w:eastAsia="仿宋_GB2312" w:cstheme="minorBidi"/>
          <w:color w:val="000000"/>
          <w:sz w:val="32"/>
          <w:szCs w:val="32"/>
        </w:rPr>
        <w:t xml:space="preserve">五是强化团的阵地覆盖。完善提升“青年之家”建设，依托“青年之家”活动阵地集中开展党史宣讲、主题阅读、红色观影、青年交友等系列活动，完成市级“青年之家云平台”增长考核性指标任务，各类活动报名参与人次超过800人 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（四）单位管理制度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根据《</w:t>
      </w:r>
      <w:r>
        <w:rPr>
          <w:rStyle w:val="16"/>
          <w:rFonts w:hint="eastAsia" w:ascii="仿宋_GB2312" w:hAnsi="楷体" w:eastAsia="仿宋_GB2312"/>
          <w:color w:val="000000"/>
          <w:sz w:val="32"/>
          <w:szCs w:val="32"/>
        </w:rPr>
        <w:t>中华人民共和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国预算法》、《</w:t>
      </w:r>
      <w:r>
        <w:rPr>
          <w:rStyle w:val="16"/>
          <w:rFonts w:hint="eastAsia" w:ascii="仿宋_GB2312" w:hAnsi="楷体" w:eastAsia="仿宋_GB2312"/>
          <w:color w:val="000000"/>
          <w:sz w:val="32"/>
          <w:szCs w:val="32"/>
        </w:rPr>
        <w:t>中华人民共和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国预算法实施条例》、</w:t>
      </w:r>
      <w:r>
        <w:rPr>
          <w:rFonts w:hint="eastAsia" w:ascii="仿宋_GB2312" w:hAnsi="仿宋" w:eastAsia="仿宋_GB2312"/>
          <w:sz w:val="32"/>
          <w:szCs w:val="32"/>
        </w:rPr>
        <w:t>《五华区预算绩效管理暂行办法》（五政办通</w:t>
      </w:r>
      <w:r>
        <w:rPr>
          <w:rFonts w:hint="eastAsia" w:ascii="仿宋_GB2312" w:hAnsi="微软雅黑" w:eastAsia="仿宋_GB2312" w:cs="微软雅黑"/>
          <w:sz w:val="32"/>
          <w:szCs w:val="32"/>
        </w:rPr>
        <w:t>〔</w:t>
      </w:r>
      <w:r>
        <w:rPr>
          <w:rFonts w:hint="eastAsia" w:ascii="仿宋_GB2312" w:hAnsi="仿宋" w:eastAsia="仿宋_GB2312"/>
          <w:sz w:val="32"/>
          <w:szCs w:val="32"/>
        </w:rPr>
        <w:t>2017</w:t>
      </w:r>
      <w:r>
        <w:rPr>
          <w:rFonts w:hint="eastAsia" w:ascii="仿宋_GB2312" w:hAnsi="微软雅黑" w:eastAsia="仿宋_GB2312" w:cs="微软雅黑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</w:rPr>
        <w:t>10号）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等规定，结合单位自身实际，制定了</w:t>
      </w:r>
      <w:r>
        <w:rPr>
          <w:rFonts w:hint="eastAsia" w:ascii="仿宋" w:hAnsi="仿宋" w:eastAsia="仿宋" w:cs="Arial"/>
          <w:sz w:val="32"/>
          <w:szCs w:val="32"/>
        </w:rPr>
        <w:t>《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中国共产主义青年团昆明市五华区委员会</w:t>
      </w:r>
      <w:r>
        <w:rPr>
          <w:rFonts w:hint="eastAsia" w:ascii="仿宋" w:hAnsi="仿宋" w:eastAsia="仿宋" w:cs="Arial"/>
          <w:sz w:val="32"/>
          <w:szCs w:val="32"/>
        </w:rPr>
        <w:t>财务管理制度》、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《中国共产主义青年团昆明市五华区委员会预算管理制度》，对预算管理的形式、范围、原则、预算构成、预算原则、预算调整、预算调整程序、预算监督等内容作了具体的规定。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（五）单位资金来源及使用情况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资金使用情况：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中国共产主义青年团昆明市五华区委员会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2021年总收入174.52万元，其中：财政拨款收入174.52万元，占总收入的100</w:t>
      </w:r>
      <w:r>
        <w:rPr>
          <w:rFonts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 w:cs="Arial"/>
          <w:sz w:val="32"/>
          <w:szCs w:val="32"/>
        </w:rPr>
        <w:t>；上级转移拨款收入0万元，占总收入的0.00</w:t>
      </w:r>
      <w:r>
        <w:rPr>
          <w:rFonts w:ascii="仿宋" w:hAnsi="仿宋" w:eastAsia="仿宋" w:cs="Arial"/>
          <w:sz w:val="32"/>
          <w:szCs w:val="32"/>
        </w:rPr>
        <w:t>%</w:t>
      </w:r>
      <w:r>
        <w:rPr>
          <w:rFonts w:hint="eastAsia" w:ascii="仿宋" w:hAnsi="仿宋" w:eastAsia="仿宋" w:cs="Arial"/>
          <w:sz w:val="32"/>
          <w:szCs w:val="32"/>
        </w:rPr>
        <w:t>。</w:t>
      </w:r>
    </w:p>
    <w:p>
      <w:pPr>
        <w:pStyle w:val="2"/>
        <w:ind w:firstLine="640"/>
      </w:pPr>
      <w:r>
        <w:rPr>
          <w:rFonts w:ascii="仿宋_GB2312" w:hAnsi="仿宋" w:eastAsia="仿宋_GB2312"/>
          <w:sz w:val="32"/>
          <w:szCs w:val="32"/>
        </w:rPr>
        <w:t xml:space="preserve">2021年部门总支出 </w:t>
      </w:r>
      <w:r>
        <w:rPr>
          <w:rFonts w:hint="eastAsia" w:ascii="仿宋_GB2312" w:hAnsi="仿宋" w:eastAsia="仿宋_GB2312"/>
          <w:sz w:val="32"/>
          <w:szCs w:val="32"/>
        </w:rPr>
        <w:t>174.55</w:t>
      </w:r>
      <w:r>
        <w:rPr>
          <w:rFonts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财政拨款</w:t>
      </w:r>
      <w:r>
        <w:rPr>
          <w:rFonts w:ascii="仿宋_GB2312" w:hAnsi="仿宋" w:eastAsia="仿宋_GB2312"/>
          <w:sz w:val="32"/>
          <w:szCs w:val="32"/>
        </w:rPr>
        <w:t>安排支出</w:t>
      </w:r>
      <w:r>
        <w:rPr>
          <w:rFonts w:hint="eastAsia" w:ascii="仿宋_GB2312" w:hAnsi="仿宋" w:eastAsia="仿宋_GB2312"/>
          <w:sz w:val="32"/>
          <w:szCs w:val="32"/>
        </w:rPr>
        <w:t>174.55</w:t>
      </w:r>
      <w:r>
        <w:rPr>
          <w:rFonts w:ascii="仿宋_GB2312" w:hAnsi="仿宋" w:eastAsia="仿宋_GB2312"/>
          <w:sz w:val="32"/>
          <w:szCs w:val="32"/>
        </w:rPr>
        <w:t>万元，其中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基本支出</w:t>
      </w:r>
      <w:r>
        <w:rPr>
          <w:rFonts w:hint="eastAsia" w:ascii="仿宋_GB2312" w:hAnsi="仿宋" w:eastAsia="仿宋_GB2312"/>
          <w:sz w:val="32"/>
          <w:szCs w:val="32"/>
        </w:rPr>
        <w:t>140.82</w:t>
      </w:r>
      <w:r>
        <w:rPr>
          <w:rFonts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" w:hAnsi="仿宋" w:eastAsia="仿宋" w:cs="Arial"/>
          <w:sz w:val="32"/>
          <w:szCs w:val="32"/>
        </w:rPr>
        <w:t>占总支出的80.68％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项目支出</w:t>
      </w:r>
      <w:r>
        <w:rPr>
          <w:rFonts w:hint="eastAsia" w:ascii="仿宋_GB2312" w:hAnsi="仿宋" w:eastAsia="仿宋_GB2312"/>
          <w:sz w:val="32"/>
          <w:szCs w:val="32"/>
        </w:rPr>
        <w:t>33.73</w:t>
      </w:r>
      <w:r>
        <w:rPr>
          <w:rFonts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" w:hAnsi="仿宋" w:eastAsia="仿宋" w:cs="Arial"/>
          <w:sz w:val="32"/>
          <w:szCs w:val="32"/>
        </w:rPr>
        <w:t>占总支出的19.32％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（六）政府采购情况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根据《中华人民共和国政府采购法》的有关规定，编制了政府采购预算，共涉及采购项目</w:t>
      </w:r>
      <w:r>
        <w:rPr>
          <w:rFonts w:hint="eastAsia" w:ascii="仿宋" w:hAnsi="仿宋" w:eastAsia="仿宋" w:cs="Arial"/>
          <w:sz w:val="32"/>
          <w:szCs w:val="32"/>
        </w:rPr>
        <w:t>1</w:t>
      </w:r>
      <w:r>
        <w:rPr>
          <w:rFonts w:ascii="仿宋" w:hAnsi="仿宋" w:eastAsia="仿宋" w:cs="Arial"/>
          <w:sz w:val="32"/>
          <w:szCs w:val="32"/>
        </w:rPr>
        <w:t>个，采购预算资金0.45万元。</w:t>
      </w:r>
    </w:p>
    <w:p>
      <w:pPr>
        <w:widowControl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（七）</w:t>
      </w:r>
      <w:r>
        <w:rPr>
          <w:rFonts w:hint="eastAsia" w:ascii="楷体" w:hAnsi="楷体" w:eastAsia="楷体"/>
          <w:sz w:val="32"/>
          <w:szCs w:val="32"/>
        </w:rPr>
        <w:t>固定资产情况</w:t>
      </w:r>
    </w:p>
    <w:p>
      <w:pPr>
        <w:pStyle w:val="2"/>
        <w:ind w:firstLine="640"/>
      </w:pPr>
      <w:r>
        <w:rPr>
          <w:rFonts w:hint="eastAsia" w:ascii="仿宋_GB2312" w:hAnsi="黑体" w:eastAsia="仿宋_GB2312" w:cs="方正小标宋简体"/>
          <w:sz w:val="32"/>
          <w:szCs w:val="32"/>
        </w:rPr>
        <w:t>截至2021年12月31日，</w:t>
      </w:r>
      <w:r>
        <w:rPr>
          <w:rFonts w:hint="eastAsia" w:ascii="仿宋_GB2312" w:eastAsia="仿宋_GB2312"/>
          <w:sz w:val="32"/>
          <w:szCs w:val="32"/>
        </w:rPr>
        <w:t>中国共产主义青年团昆明市五华区委员会</w:t>
      </w:r>
      <w:r>
        <w:rPr>
          <w:rFonts w:hint="eastAsia" w:ascii="仿宋_GB2312" w:hAnsi="黑体" w:eastAsia="仿宋_GB2312" w:cs="方正小标宋简体"/>
          <w:sz w:val="32"/>
          <w:szCs w:val="32"/>
        </w:rPr>
        <w:t>固定资产原值143,410.00元。</w:t>
      </w:r>
    </w:p>
    <w:p>
      <w:pPr>
        <w:topLinePunct/>
        <w:spacing w:line="52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</w:t>
      </w:r>
    </w:p>
    <w:p>
      <w:pPr>
        <w:topLinePunct/>
        <w:spacing w:line="520" w:lineRule="exact"/>
        <w:ind w:firstLine="8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（一）单位总目标。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1. 开展团组织建设工作，社区团组织建设覆盖率达100%、团组织建设达标率不低于100%。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2. 贯彻落实关工委工作要求，开展六一慰问贫困青少年60人，组织不少于300名特殊困难家庭子女参加青少年暑期活动，组织50名老同志开展重阳节座谈会。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3. 抓好青年志愿者常态化志愿服务工作，组织开展城市志愿者服务活动不低于20次。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4. 继续深化未成年人司法项目，派遣合适成年人参加触法未成年人讯问不低于20人，服务不低600次。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5. 强化青少年理想信念教育。开展“云岭青年大学习”网上主题团课不低于5期，举办专题演讲比赛、知识竞赛不低于2场；开展主题教育活动不低于5场。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6. 为了减少青少年违法犯罪案件，在全区中小学及社区开展预防青少年违法犯罪宣传活动不低5次。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7. 深化新媒体宣传引导，组建青年网络宣传志愿者队伍200余名，创新传播网络文化产品，上报团市委信息不低于100条，在官方微博发布信息不低于500条，微信公众号推送信息不低于200条（篇）。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8. 动员青年参与“双创”工作，完成30户创业青年“贷免扶补”工作任务。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 xml:space="preserve">9. 履行共青团“协商”“代言”职责，邀请人大代表、政协委员与青年面对面，引导青年理性、有序表达诉求不少于1次。  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黑体" w:eastAsia="仿宋_GB2312" w:cs="方正小标宋简体"/>
          <w:sz w:val="32"/>
          <w:szCs w:val="32"/>
        </w:rPr>
        <w:t xml:space="preserve">                                                                         </w:t>
      </w:r>
      <w:r>
        <w:rPr>
          <w:rFonts w:ascii="仿宋_GB2312" w:hAnsi="黑体" w:eastAsia="仿宋_GB2312" w:cs="方正小标宋简体"/>
          <w:sz w:val="32"/>
          <w:szCs w:val="32"/>
        </w:rPr>
        <w:t xml:space="preserve">     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 xml:space="preserve">                                   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10.</w:t>
      </w:r>
      <w:r>
        <w:rPr>
          <w:rFonts w:hint="eastAsia" w:ascii="仿宋_GB2312" w:hAnsi="黑体" w:eastAsia="仿宋_GB2312" w:cs="方正小标宋简体"/>
          <w:sz w:val="32"/>
          <w:szCs w:val="32"/>
        </w:rPr>
        <w:t>团区委召开团代会1次。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11. 服务对象对部门工作满意度达90%以上。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（二）单位项目具体计划目标。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1.共青团工作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（1）为了减少青少年违法犯罪案件，在全区中小学及社区开展预防青少年违法犯罪宣传活动；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（2）为进一步加大党建带团建的工作力度，不断巩固党执政的青年群众基础，开展团组织建设工作。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（3）大力推进“青年之家”建设，以“青年之家”服务平台为依托进一步整合资源、开展活动、提供服务，更好地提高团的吸引力和凝聚力。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（4）为了增强团代表对普通团员青年的联系和服务，提高履职能力和水平，合规使用团代表履职费。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2.关心下一代工作委员会工作</w:t>
      </w:r>
    </w:p>
    <w:p>
      <w:pPr>
        <w:pStyle w:val="2"/>
        <w:ind w:firstLine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（1）为加强青少年思想道德建设、积极参与创新社会管理，关爱特殊青少年群体，将于六一儿童节当天慰问60名贫困家庭小学生；</w:t>
      </w:r>
    </w:p>
    <w:p>
      <w:pPr>
        <w:pStyle w:val="2"/>
        <w:ind w:firstLine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（2）为加强青少年法制教育、预防减少青少年违法犯罪、维护青少年合法权益，将组织10场爱心夏令营活动；</w:t>
      </w:r>
    </w:p>
    <w:p>
      <w:pPr>
        <w:pStyle w:val="2"/>
        <w:ind w:firstLine="640"/>
      </w:pPr>
      <w:r>
        <w:rPr>
          <w:rFonts w:hint="eastAsia" w:ascii="仿宋_GB2312" w:hAnsi="楷体" w:eastAsia="仿宋_GB2312"/>
          <w:sz w:val="32"/>
          <w:szCs w:val="32"/>
        </w:rPr>
        <w:t>（3）为加强“五老”队伍建设，将于重阳节慰问50名五老人员代表。</w:t>
      </w:r>
    </w:p>
    <w:p>
      <w:pPr>
        <w:topLinePunct/>
        <w:spacing w:line="52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三、评价思路和过程</w:t>
      </w:r>
    </w:p>
    <w:p>
      <w:pPr>
        <w:spacing w:line="560" w:lineRule="exact"/>
        <w:ind w:left="1"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（一）评价思路</w:t>
      </w:r>
    </w:p>
    <w:p>
      <w:pPr>
        <w:spacing w:line="560" w:lineRule="exact"/>
        <w:ind w:left="1"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1.前期准备</w:t>
      </w:r>
    </w:p>
    <w:p>
      <w:pPr>
        <w:spacing w:line="560" w:lineRule="exact"/>
        <w:ind w:left="1"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为认真贯彻落实《</w:t>
      </w:r>
      <w:r>
        <w:rPr>
          <w:rStyle w:val="16"/>
          <w:rFonts w:hint="eastAsia" w:ascii="仿宋_GB2312" w:hAnsi="楷体" w:eastAsia="仿宋_GB2312"/>
          <w:color w:val="000000"/>
          <w:sz w:val="32"/>
          <w:szCs w:val="32"/>
        </w:rPr>
        <w:t>中华人民共和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国预算法》，切实加强预算绩效管理，强化绩效理念和支出责任，着力提升财政资金使用效益，</w:t>
      </w:r>
      <w:r>
        <w:rPr>
          <w:rFonts w:hint="eastAsia" w:ascii="仿宋_GB2312" w:hAnsi="楷体" w:eastAsia="仿宋_GB2312"/>
          <w:sz w:val="32"/>
          <w:szCs w:val="32"/>
        </w:rPr>
        <w:t>共青团五华区委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将绩效评价工作作为一项重要工作组织落实，认真学习省、市、区绩效评价相关文件精神，积极参加区财政局举办的绩效评价培训，扎实抓好绩效评价工作夯实理论基础。</w:t>
      </w:r>
    </w:p>
    <w:p>
      <w:pPr>
        <w:numPr>
          <w:ilvl w:val="0"/>
          <w:numId w:val="1"/>
        </w:numPr>
        <w:spacing w:line="560" w:lineRule="exact"/>
        <w:ind w:left="1"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一是结合工作职责提出年度主要工作内容和总体目标；二是将年度目标任务从产出指标、效益指标和满意度指标三个层面进行分解和细化，提出预期实现的效益；三是加强绩效督查和跟踪管理，按照财政部门的安排和部署对</w:t>
      </w:r>
      <w:r>
        <w:rPr>
          <w:rFonts w:hint="eastAsia" w:ascii="仿宋_GB2312" w:hAnsi="楷体" w:eastAsia="仿宋_GB2312"/>
          <w:sz w:val="32"/>
          <w:szCs w:val="32"/>
        </w:rPr>
        <w:t>共青团五华区委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整体支出绩效自评指标逐项进行自评，按要求写出绩效评价报告。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（二）评价目的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通过部门整体资金收支情况、绩效目标设置情况、资金使用情况、资金管理情况、取得成效情况进行自评，了解资金是否达到了预期目标、资金管理是否规范、资金使用是否有效，检验资金支出效率和效果，分析存在的问题及原因，及时总结经验，改进管理措施，不断增强和落实管理责任，完善工作机制，有效提高资金管理水平和使用效益，实现政府财政资金的合理配置，规范预算分配，优化财政支出结构，降低政府运行成本。</w:t>
      </w:r>
    </w:p>
    <w:p>
      <w:pPr>
        <w:spacing w:line="560" w:lineRule="exact"/>
        <w:ind w:firstLine="800" w:firstLineChars="250"/>
        <w:jc w:val="lef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通过评价本单位财政资金预算支出绩效状况，为今后预算安排提供决策支持。进一步增强本单位支出管理责任，优化支出结构，提高财政资金使用的经济性、效率性和有效性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>
      <w:pPr>
        <w:topLinePunct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（三）评价依据</w:t>
      </w:r>
    </w:p>
    <w:p>
      <w:pPr>
        <w:topLinePunct/>
        <w:spacing w:line="56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《</w:t>
      </w:r>
      <w:r>
        <w:rPr>
          <w:rFonts w:hint="eastAsia" w:ascii="仿宋_GB2312" w:hAnsi="楷体" w:eastAsia="仿宋_GB2312"/>
          <w:sz w:val="32"/>
          <w:szCs w:val="32"/>
        </w:rPr>
        <w:t>中华人民共和国预算法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》、《</w:t>
      </w:r>
      <w:r>
        <w:rPr>
          <w:rFonts w:hint="eastAsia" w:ascii="仿宋_GB2312" w:hAnsi="楷体" w:eastAsia="仿宋_GB2312"/>
          <w:sz w:val="32"/>
          <w:szCs w:val="32"/>
        </w:rPr>
        <w:t>云南省预算审查监督条例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《五华区预算绩效管理暂行办法》（五政办通</w:t>
      </w:r>
      <w:r>
        <w:rPr>
          <w:rFonts w:hint="eastAsia" w:ascii="仿宋_GB2312" w:hAnsi="微软雅黑" w:eastAsia="仿宋_GB2312" w:cs="微软雅黑"/>
          <w:sz w:val="32"/>
          <w:szCs w:val="32"/>
        </w:rPr>
        <w:t>〔</w:t>
      </w:r>
      <w:r>
        <w:rPr>
          <w:rFonts w:hint="eastAsia" w:ascii="仿宋_GB2312" w:hAnsi="仿宋" w:eastAsia="仿宋_GB2312"/>
          <w:sz w:val="32"/>
          <w:szCs w:val="32"/>
        </w:rPr>
        <w:t>2017</w:t>
      </w:r>
      <w:r>
        <w:rPr>
          <w:rFonts w:hint="eastAsia" w:ascii="仿宋_GB2312" w:hAnsi="微软雅黑" w:eastAsia="仿宋_GB2312" w:cs="微软雅黑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</w:rPr>
        <w:t>10号）</w:t>
      </w:r>
      <w:r>
        <w:rPr>
          <w:rFonts w:hint="eastAsia" w:ascii="仿宋_GB2312" w:hAnsi="楷体" w:eastAsia="仿宋_GB2312"/>
          <w:sz w:val="32"/>
          <w:szCs w:val="32"/>
        </w:rPr>
        <w:t>及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《</w:t>
      </w:r>
      <w:r>
        <w:rPr>
          <w:rFonts w:hint="eastAsia" w:ascii="仿宋_GB2312" w:hAnsi="楷体" w:eastAsia="仿宋_GB2312"/>
          <w:sz w:val="32"/>
          <w:szCs w:val="32"/>
        </w:rPr>
        <w:t>中国共产主义青年团昆明市五华区委员会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预算管理办法》</w:t>
      </w:r>
      <w:r>
        <w:rPr>
          <w:rFonts w:hint="eastAsia" w:ascii="仿宋_GB2312" w:hAnsi="楷体" w:eastAsia="仿宋_GB2312"/>
          <w:sz w:val="32"/>
          <w:szCs w:val="32"/>
        </w:rPr>
        <w:t>的相关规定进行预算绩效管理。</w:t>
      </w:r>
    </w:p>
    <w:p>
      <w:pPr>
        <w:topLinePunct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（四）评价对象及评价时段。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2022年3月份本单位对2021年项目绩效支出情况进行自评，1.共青团工作得分85.6分（良）；2.关心下一代工作委员会工作得分98.8分（优）；3.城市志愿者服务专项经费得分 91.6分（优）；4.带薪未休假得分100分（优）。</w:t>
      </w:r>
    </w:p>
    <w:p>
      <w:pPr>
        <w:topLinePunct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四、评价结论和绩效分析</w:t>
      </w:r>
    </w:p>
    <w:p>
      <w:pPr>
        <w:topLinePunct/>
        <w:spacing w:line="520" w:lineRule="exact"/>
        <w:ind w:firstLine="8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（一）评价结论</w:t>
      </w:r>
    </w:p>
    <w:p>
      <w:pPr>
        <w:topLinePunct/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1.评价结果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根据我单位共青团五华区委开展的工作项目自评情况，2021年共青团五华区委较好的完成了年初设定的各项工作绩效目标，本单位自评得分为9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分，评定等级为优。</w:t>
      </w:r>
    </w:p>
    <w:p>
      <w:pPr>
        <w:topLinePunct/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2.主要绩效</w:t>
      </w:r>
    </w:p>
    <w:p>
      <w:pPr>
        <w:pStyle w:val="2"/>
        <w:ind w:left="420" w:leftChars="200" w:firstLine="0" w:firstLineChars="0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/>
        </w:rPr>
        <w:t xml:space="preserve">  （</w:t>
      </w:r>
      <w:r>
        <w:rPr>
          <w:rFonts w:hint="eastAsia" w:ascii="仿宋_GB2312" w:hAnsi="黑体" w:eastAsia="仿宋_GB2312" w:cs="方正小标宋简体"/>
          <w:sz w:val="32"/>
          <w:szCs w:val="32"/>
        </w:rPr>
        <w:t>1</w:t>
      </w:r>
      <w:r>
        <w:rPr>
          <w:rFonts w:hint="eastAsia"/>
        </w:rPr>
        <w:t>）</w:t>
      </w:r>
      <w:r>
        <w:rPr>
          <w:rFonts w:hint="eastAsia" w:ascii="仿宋_GB2312" w:hAnsi="黑体" w:eastAsia="仿宋_GB2312" w:cs="方正小标宋简体"/>
          <w:sz w:val="32"/>
          <w:szCs w:val="32"/>
        </w:rPr>
        <w:t>共青团工作经费：完成10场预防青少年违法犯罪活动、团组织建设覆盖率达到96%、有效维护青少年合法权益、服务对象对部门工作满意度达到95%；</w:t>
      </w:r>
    </w:p>
    <w:p>
      <w:pPr>
        <w:pStyle w:val="2"/>
        <w:ind w:left="420" w:leftChars="200" w:firstLine="0" w:firstLineChars="0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 xml:space="preserve">  （2）关工委专项经费：完成六一慰问贫困青少年60人、组织爱心夏令营10场次、爱心夏令营活动达标率98%、青少年的思想道德素质、科技文化素质和健康素质、服务对象对部门工作满意度达到96%；</w:t>
      </w:r>
    </w:p>
    <w:p>
      <w:pPr>
        <w:pStyle w:val="2"/>
        <w:ind w:left="420" w:leftChars="200" w:firstLine="0" w:firstLineChars="0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 xml:space="preserve">  （3）城市志愿者服务专项经费：完成志愿者服务站点13个、志愿服务品牌活动建设5场、培训人员合格率达到95%、志愿者服务保障及城市志愿者常态化疫情防控物资保障率达到100%、服务对象满意度达到90%</w:t>
      </w:r>
    </w:p>
    <w:p>
      <w:pPr>
        <w:topLinePunct/>
        <w:spacing w:line="560" w:lineRule="exact"/>
        <w:ind w:firstLine="800" w:firstLineChars="2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（二）具体绩效分析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1.产出指标分析。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项目预算资金为144.74万元，为保证财政资金使用效率，团区委在管理服务过程中，严格加强费用控制，尽量将费用控制在预算范围内。2021年共青团实际使用财政拨款项目资金35.92万元。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2.效益指标分析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2021年团区委围绕区委、区政府中心工作，紧扣主题，注重工作的关联性，开展丰富多彩的主题活动，有步骤，有目的，有措施的实施，按要求完成了各项工作任务。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3.满意度分析</w:t>
      </w:r>
    </w:p>
    <w:p>
      <w:pPr>
        <w:topLinePunct/>
        <w:spacing w:line="56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2021年，团区委强化青少年思想教育工作，开展主题教育实践活动，唱响主旋律，引导广大团员青年牢固树立理想信念。服务对象满意度达到98%。</w:t>
      </w:r>
    </w:p>
    <w:p>
      <w:pPr>
        <w:topLinePunct/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五、主要经验做法</w:t>
      </w:r>
    </w:p>
    <w:p>
      <w:pPr>
        <w:topLinePunct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加强团区委预算绩效管理工作，牢固树立“讲绩效、重绩效、用绩效”的观念，进一步完善绩效评价结果运用机制，将评价结果作为申报以后年度预算的重要依据，发挥绩效评价工作的应有作用。下一步，团区委将继续按照上级部门及财政局相关要求，认真做好项目经费预算、管理和使用等工作，切实提高项目经费使用效率，最大限度的满足各项工作要求，为全区共青团工作提供更好人才支撑和智力支持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项目绩效目标和各项指标的理解、认识不到位，导致项目绩效目标不够明确，不够细化量化，缺乏可衡量性。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改进措施及建议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通过对2021年财政绩效支出工作的梳理总结，共青团五华针对存在的问题将做好以下改进措施：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1.进一步完善预算资金使用的制度建设，确保以制度做好监督，使财政预算绩效工作能够合法合理，科学有效开展；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2.加强过程监督，提高资金使用效益，完善绩效指标体系，尽可能合理的细化、量化指标体系，使各项指标能充分反映在预算管理工作中。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3.根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据《预算法》及实施条例，共青团五华区委结合自身预算执行的实际情况，努力做好收支平衡，严谨、科学的编制年度预算，制定合理的绩效目标，做好预算执行中的监督，不断完善预算管理工作。</w:t>
      </w:r>
    </w:p>
    <w:p>
      <w:pPr>
        <w:pStyle w:val="2"/>
        <w:ind w:firstLine="560"/>
      </w:pPr>
    </w:p>
    <w:p>
      <w:pPr>
        <w:topLinePunct/>
        <w:spacing w:line="520" w:lineRule="exact"/>
        <w:ind w:firstLine="525" w:firstLineChars="250"/>
        <w:rPr>
          <w:rFonts w:ascii="黑体" w:hAnsi="黑体" w:eastAsia="黑体"/>
          <w:szCs w:val="32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jc w:val="both"/>
        <w:rPr>
          <w:rFonts w:ascii="方正小标宋_GBK" w:eastAsia="方正小标宋_GBK"/>
        </w:rPr>
      </w:pPr>
    </w:p>
    <w:p>
      <w:pPr>
        <w:spacing w:line="520" w:lineRule="exact"/>
        <w:jc w:val="center"/>
        <w:rPr>
          <w:rFonts w:ascii="方正小标宋_GBK" w:eastAsia="方正小标宋_GBK"/>
        </w:rPr>
      </w:pPr>
    </w:p>
    <w:p>
      <w:pPr>
        <w:spacing w:line="520" w:lineRule="exact"/>
        <w:ind w:left="630" w:hanging="630" w:hangingChars="300"/>
        <w:jc w:val="left"/>
        <w:rPr>
          <w:rFonts w:ascii="仿宋_GB2312" w:hAnsi="仿宋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449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CA239"/>
    <w:multiLevelType w:val="singleLevel"/>
    <w:tmpl w:val="D5FCA2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CD5186"/>
    <w:multiLevelType w:val="singleLevel"/>
    <w:tmpl w:val="FDCD5186"/>
    <w:lvl w:ilvl="0" w:tentative="0">
      <w:start w:val="6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E45"/>
    <w:rsid w:val="00005B7A"/>
    <w:rsid w:val="001567E5"/>
    <w:rsid w:val="001B3F16"/>
    <w:rsid w:val="001C291E"/>
    <w:rsid w:val="00237CB8"/>
    <w:rsid w:val="004E244D"/>
    <w:rsid w:val="005C56CB"/>
    <w:rsid w:val="00643B42"/>
    <w:rsid w:val="00646E45"/>
    <w:rsid w:val="006B2216"/>
    <w:rsid w:val="00732263"/>
    <w:rsid w:val="00752825"/>
    <w:rsid w:val="0076065C"/>
    <w:rsid w:val="0087447D"/>
    <w:rsid w:val="00897DC7"/>
    <w:rsid w:val="009E3F2F"/>
    <w:rsid w:val="00A36C61"/>
    <w:rsid w:val="00B3215D"/>
    <w:rsid w:val="00B55AEA"/>
    <w:rsid w:val="00C55B3A"/>
    <w:rsid w:val="00D03DA3"/>
    <w:rsid w:val="00E45400"/>
    <w:rsid w:val="00E566E1"/>
    <w:rsid w:val="00EF2140"/>
    <w:rsid w:val="023F3C28"/>
    <w:rsid w:val="03710640"/>
    <w:rsid w:val="148A15AA"/>
    <w:rsid w:val="19D1507B"/>
    <w:rsid w:val="1A430106"/>
    <w:rsid w:val="22A41461"/>
    <w:rsid w:val="27547845"/>
    <w:rsid w:val="37085E66"/>
    <w:rsid w:val="424B42F2"/>
    <w:rsid w:val="437C6CC6"/>
    <w:rsid w:val="467E48C6"/>
    <w:rsid w:val="52CA2AA3"/>
    <w:rsid w:val="619150C2"/>
    <w:rsid w:val="78C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TOC 标题1"/>
    <w:basedOn w:val="3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1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12">
    <w:name w:val="标题 1 字符"/>
    <w:basedOn w:val="8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edui-faked-checkwor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825</Words>
  <Characters>4706</Characters>
  <Lines>39</Lines>
  <Paragraphs>11</Paragraphs>
  <TotalTime>160</TotalTime>
  <ScaleCrop>false</ScaleCrop>
  <LinksUpToDate>false</LinksUpToDate>
  <CharactersWithSpaces>5520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2019-03-28T06:04:00Z</dcterms:created>
  <dc:creator>hp</dc:creator>
  <cp:lastModifiedBy>Administrator</cp:lastModifiedBy>
  <dcterms:modified xsi:type="dcterms:W3CDTF">2022-03-08T07:09:23Z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DC04598D8C474A62B95EF8705A017BF6</vt:lpwstr>
  </property>
</Properties>
</file>