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2022年5月27日</w:t>
      </w:r>
    </w:p>
    <w:tbl>
      <w:tblPr>
        <w:tblStyle w:val="4"/>
        <w:tblpPr w:leftFromText="180" w:rightFromText="180" w:vertAnchor="text" w:horzAnchor="page" w:tblpX="1779" w:tblpY="231"/>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s="Arial"/>
                <w:color w:val="000000"/>
                <w:szCs w:val="32"/>
              </w:rPr>
            </w:pPr>
            <w:r>
              <w:rPr>
                <w:rFonts w:ascii="Times New Roman" w:hAnsi="Times New Roman" w:eastAsia="仿宋_GB2312" w:cs="Arial"/>
                <w:color w:val="000000"/>
                <w:szCs w:val="32"/>
              </w:rPr>
              <w:t>受理编号：D2YN202104</w:t>
            </w:r>
            <w:r>
              <w:rPr>
                <w:rFonts w:hint="eastAsia" w:ascii="Times New Roman" w:hAnsi="Times New Roman" w:eastAsia="仿宋_GB2312" w:cs="Arial"/>
                <w:color w:val="000000"/>
                <w:szCs w:val="32"/>
              </w:rPr>
              <w:t>150034</w:t>
            </w:r>
            <w:r>
              <w:rPr>
                <w:rFonts w:ascii="Times New Roman" w:hAnsi="Times New Roman" w:eastAsia="仿宋_GB2312" w:cs="Arial"/>
                <w:color w:val="000000"/>
                <w:szCs w:val="32"/>
              </w:rPr>
              <w:t>。投诉人反映：昆明市五华区教兴路与二环路交叉口的水泥搅拌站排放扬尘和噪声扰民。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s="Arial"/>
                <w:color w:val="000000"/>
                <w:szCs w:val="32"/>
              </w:rPr>
            </w:pPr>
            <w:r>
              <w:rPr>
                <w:rFonts w:hint="eastAsia" w:ascii="Times New Roman" w:hAnsi="Times New Roman" w:eastAsia="仿宋_GB2312" w:cs="Arial"/>
                <w:color w:val="000000"/>
                <w:szCs w:val="32"/>
              </w:rPr>
              <w:t>经核查，存在以下问题：</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s="Arial"/>
                <w:color w:val="000000"/>
                <w:szCs w:val="32"/>
              </w:rPr>
            </w:pPr>
            <w:r>
              <w:rPr>
                <w:rFonts w:ascii="Times New Roman" w:hAnsi="Times New Roman" w:eastAsia="仿宋_GB2312" w:cs="Arial"/>
                <w:color w:val="000000"/>
                <w:szCs w:val="32"/>
              </w:rPr>
              <w:t>1.搅拌站沉淀池未及时清理，砂石材料库未覆盖；</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s="Arial"/>
                <w:color w:val="000000"/>
                <w:szCs w:val="32"/>
              </w:rPr>
            </w:pPr>
            <w:r>
              <w:rPr>
                <w:rFonts w:ascii="Times New Roman" w:hAnsi="Times New Roman" w:eastAsia="仿宋_GB2312" w:cs="Arial"/>
                <w:color w:val="000000"/>
                <w:szCs w:val="32"/>
              </w:rPr>
              <w:t>2.输送带未封闭，废料乱堆，存在扬尘情况；</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s="Arial"/>
                <w:color w:val="000000"/>
                <w:szCs w:val="32"/>
              </w:rPr>
            </w:pPr>
            <w:r>
              <w:rPr>
                <w:rFonts w:ascii="Times New Roman" w:hAnsi="Times New Roman" w:eastAsia="仿宋_GB2312" w:cs="Arial"/>
                <w:color w:val="000000"/>
                <w:szCs w:val="32"/>
              </w:rPr>
              <w:t>3.喷淋设备虽已打开，但喷淋设备较少，未能全面覆盖。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办结情况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s="Arial"/>
                <w:color w:val="000000"/>
                <w:szCs w:val="32"/>
              </w:rPr>
            </w:pPr>
            <w:r>
              <w:rPr>
                <w:rFonts w:ascii="Times New Roman" w:hAnsi="Times New Roman" w:eastAsia="仿宋_GB2312" w:cs="Arial"/>
                <w:color w:val="000000"/>
                <w:szCs w:val="32"/>
              </w:rPr>
              <w:t>1. 责令搅拌站对原料砂石区域、生产供料仓进行覆盖，对原料输送带进行密闭处理，安装喷淋器按时加湿，并对原料砂石区域、生产供料仓未覆盖和原料输送带未密闭的环境违法行为进行立案查处。</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s="Arial"/>
                <w:color w:val="000000"/>
                <w:szCs w:val="32"/>
              </w:rPr>
            </w:pPr>
            <w:r>
              <w:rPr>
                <w:rFonts w:ascii="Times New Roman" w:hAnsi="Times New Roman" w:eastAsia="仿宋_GB2312" w:cs="Arial"/>
                <w:color w:val="000000"/>
                <w:szCs w:val="32"/>
              </w:rPr>
              <w:t>2.</w:t>
            </w:r>
            <w:r>
              <w:rPr>
                <w:rFonts w:hint="eastAsia" w:ascii="Times New Roman" w:hAnsi="Times New Roman" w:eastAsia="仿宋_GB2312" w:cs="Arial"/>
                <w:color w:val="000000"/>
                <w:szCs w:val="32"/>
              </w:rPr>
              <w:t xml:space="preserve"> </w:t>
            </w:r>
            <w:r>
              <w:rPr>
                <w:rFonts w:ascii="Times New Roman" w:hAnsi="Times New Roman" w:eastAsia="仿宋_GB2312" w:cs="Arial"/>
                <w:color w:val="000000"/>
                <w:szCs w:val="32"/>
              </w:rPr>
              <w:t>对搅拌站生产噪声进行监测，监测结果为达标。</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s="Arial"/>
                <w:color w:val="000000"/>
                <w:szCs w:val="32"/>
              </w:rPr>
            </w:pPr>
            <w:r>
              <w:rPr>
                <w:rFonts w:hint="eastAsia" w:ascii="Times New Roman" w:hAnsi="Times New Roman" w:eastAsia="仿宋_GB2312" w:cs="Arial"/>
                <w:color w:val="000000"/>
                <w:szCs w:val="32"/>
              </w:rPr>
              <w:t>3.</w:t>
            </w:r>
            <w:r>
              <w:rPr>
                <w:rFonts w:ascii="Times New Roman" w:hAnsi="Times New Roman" w:eastAsia="仿宋_GB2312" w:cs="Arial"/>
                <w:color w:val="000000"/>
                <w:szCs w:val="32"/>
              </w:rPr>
              <w:t xml:space="preserve"> 对搅拌站未加强精细化管理，未采取集中收集处理措施，未严格控制粉尘和气态污染物排放的环境违法行为，责令搅拌站进行停</w:t>
            </w:r>
            <w:r>
              <w:rPr>
                <w:rFonts w:hint="eastAsia" w:ascii="Times New Roman" w:hAnsi="Times New Roman" w:eastAsia="仿宋_GB2312" w:cs="Arial"/>
                <w:color w:val="000000"/>
                <w:szCs w:val="32"/>
              </w:rPr>
              <w:t>产</w:t>
            </w:r>
            <w:r>
              <w:rPr>
                <w:rFonts w:ascii="Times New Roman" w:hAnsi="Times New Roman" w:eastAsia="仿宋_GB2312" w:cs="Arial"/>
                <w:color w:val="000000"/>
                <w:szCs w:val="32"/>
              </w:rPr>
              <w:t>整治。</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s="Arial"/>
                <w:color w:val="000000"/>
                <w:szCs w:val="32"/>
              </w:rPr>
            </w:pPr>
            <w:r>
              <w:rPr>
                <w:rFonts w:hint="eastAsia" w:ascii="Times New Roman" w:hAnsi="Times New Roman" w:eastAsia="仿宋_GB2312" w:cs="Arial"/>
                <w:color w:val="000000"/>
                <w:szCs w:val="32"/>
              </w:rPr>
              <w:t xml:space="preserve">4. </w:t>
            </w:r>
            <w:r>
              <w:rPr>
                <w:rFonts w:ascii="Times New Roman" w:hAnsi="Times New Roman" w:eastAsia="仿宋_GB2312" w:cs="Arial"/>
                <w:color w:val="000000"/>
                <w:szCs w:val="32"/>
              </w:rPr>
              <w:t>下发《询问调查通知书》《责令限期改正通知书》，责令搅拌站对该场地的废料进行清理，并对其违反《中华人民共和国大气污染防治法》，相关规定处罚1万元。</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s="Arial"/>
                <w:color w:val="000000"/>
                <w:szCs w:val="32"/>
              </w:rPr>
            </w:pPr>
            <w:r>
              <w:rPr>
                <w:rFonts w:hint="eastAsia" w:ascii="Times New Roman" w:hAnsi="Times New Roman" w:eastAsia="仿宋_GB2312" w:cs="Arial"/>
                <w:color w:val="000000"/>
                <w:szCs w:val="32"/>
              </w:rPr>
              <w:t>5</w:t>
            </w:r>
            <w:r>
              <w:rPr>
                <w:rFonts w:ascii="Times New Roman" w:hAnsi="Times New Roman" w:eastAsia="仿宋_GB2312" w:cs="Arial"/>
                <w:color w:val="000000"/>
                <w:szCs w:val="32"/>
              </w:rPr>
              <w:t>. 督促搅拌站规范进出运输车辆管理，避免噪声扰民。</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s="Arial"/>
                <w:color w:val="000000"/>
                <w:szCs w:val="32"/>
              </w:rPr>
            </w:pPr>
            <w:r>
              <w:rPr>
                <w:rFonts w:hint="eastAsia" w:ascii="Times New Roman" w:hAnsi="Times New Roman" w:eastAsia="仿宋_GB2312" w:cs="Arial"/>
                <w:color w:val="000000"/>
                <w:szCs w:val="32"/>
              </w:rPr>
              <w:t>6</w:t>
            </w:r>
            <w:r>
              <w:rPr>
                <w:rFonts w:ascii="Times New Roman" w:hAnsi="Times New Roman" w:eastAsia="仿宋_GB2312" w:cs="Arial"/>
                <w:color w:val="000000"/>
                <w:szCs w:val="32"/>
              </w:rPr>
              <w:t>. 对搅拌站内的违章建筑进行全面拆除。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40" w:lineRule="exact"/>
              <w:ind w:firstLine="2240" w:firstLineChars="700"/>
              <w:jc w:val="both"/>
              <w:rPr>
                <w:rFonts w:ascii="Times New Roman" w:hAnsi="Times New Roman" w:eastAsia="仿宋_GB2312"/>
                <w:szCs w:val="32"/>
              </w:rPr>
            </w:pPr>
            <w:r>
              <w:rPr>
                <w:rFonts w:hint="eastAsia" w:ascii="Times New Roman" w:hAnsi="Times New Roman" w:eastAsia="仿宋_GB2312" w:cs="Arial"/>
                <w:color w:val="000000"/>
                <w:szCs w:val="32"/>
              </w:rPr>
              <w:t>莲华街道办事处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pageBreakBefore w:val="0"/>
              <w:widowControl w:val="0"/>
              <w:kinsoku/>
              <w:wordWrap/>
              <w:overflowPunct/>
              <w:topLinePunct w:val="0"/>
              <w:autoSpaceDE w:val="0"/>
              <w:autoSpaceDN w:val="0"/>
              <w:bidi w:val="0"/>
              <w:adjustRightInd w:val="0"/>
              <w:snapToGrid/>
              <w:spacing w:line="320" w:lineRule="exact"/>
              <w:ind w:firstLine="640" w:firstLineChars="200"/>
              <w:textAlignment w:val="auto"/>
              <w:rPr>
                <w:rFonts w:ascii="Times New Roman" w:hAnsi="Times New Roman" w:eastAsia="仿宋_GB2312"/>
                <w:color w:val="000000"/>
                <w:szCs w:val="32"/>
              </w:rPr>
            </w:pPr>
            <w:r>
              <w:rPr>
                <w:rFonts w:ascii="Times New Roman" w:hAnsi="Times New Roman" w:eastAsia="仿宋_GB2312"/>
                <w:color w:val="000000"/>
                <w:szCs w:val="32"/>
              </w:rPr>
              <w:t>1．自2021年4月16日起，该搅拌站已按整改要求自行停业整改，完成对原料输送带封闭和原料仓覆盖的整改，安装喷淋器按时加湿，并自行停止夜间运输作业。</w:t>
            </w:r>
          </w:p>
          <w:p>
            <w:pPr>
              <w:pStyle w:val="2"/>
              <w:pageBreakBefore w:val="0"/>
              <w:widowControl w:val="0"/>
              <w:kinsoku/>
              <w:wordWrap/>
              <w:overflowPunct/>
              <w:topLinePunct w:val="0"/>
              <w:bidi w:val="0"/>
              <w:snapToGrid/>
              <w:spacing w:line="320" w:lineRule="exact"/>
              <w:textAlignment w:val="auto"/>
              <w:outlineLvl w:val="1"/>
              <w:rPr>
                <w:rFonts w:ascii="Times New Roman" w:hAnsi="Times New Roman"/>
              </w:rPr>
            </w:pPr>
            <w:r>
              <w:rPr>
                <w:rFonts w:hint="eastAsia" w:ascii="Times New Roman" w:hAnsi="Times New Roman" w:eastAsia="仿宋_GB2312"/>
                <w:color w:val="000000"/>
                <w:szCs w:val="32"/>
              </w:rPr>
              <w:t>2</w:t>
            </w:r>
            <w:r>
              <w:rPr>
                <w:rFonts w:ascii="Times New Roman" w:hAnsi="Times New Roman" w:eastAsia="仿宋_GB2312"/>
                <w:color w:val="000000"/>
                <w:szCs w:val="32"/>
              </w:rPr>
              <w:t xml:space="preserve">. </w:t>
            </w:r>
            <w:r>
              <w:rPr>
                <w:rFonts w:ascii="Times New Roman" w:hAnsi="Times New Roman" w:eastAsia="仿宋_GB2312"/>
                <w:kern w:val="0"/>
                <w:szCs w:val="32"/>
              </w:rPr>
              <w:t>对搅拌站内的违章建筑进行全面拆除，搅拌站已自行拆除其生厂设备，运输车辆、工人于2021年底已全部迁出。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40" w:lineRule="exact"/>
              <w:ind w:firstLine="640" w:firstLineChars="200"/>
              <w:jc w:val="left"/>
              <w:rPr>
                <w:rFonts w:ascii="Times New Roman" w:hAnsi="Times New Roman" w:eastAsia="仿宋_GB2312"/>
                <w:color w:val="000000"/>
                <w:sz w:val="28"/>
                <w:szCs w:val="28"/>
              </w:rPr>
            </w:pPr>
            <w:r>
              <w:rPr>
                <w:rFonts w:hint="eastAsia" w:ascii="Times New Roman" w:hAnsi="Times New Roman" w:eastAsia="仿宋_GB2312"/>
                <w:szCs w:val="32"/>
              </w:rPr>
              <w:t>现将该投诉问题</w:t>
            </w:r>
            <w:r>
              <w:rPr>
                <w:rFonts w:hint="eastAsia" w:ascii="Times New Roman" w:hAnsi="Times New Roman" w:eastAsia="仿宋_GB2312"/>
                <w:szCs w:val="32"/>
                <w:lang w:val="en-US" w:eastAsia="zh-CN"/>
              </w:rPr>
              <w:t>办结</w:t>
            </w:r>
            <w:r>
              <w:rPr>
                <w:rFonts w:hint="eastAsia" w:ascii="Times New Roman" w:hAnsi="Times New Roman" w:eastAsia="仿宋_GB2312"/>
                <w:szCs w:val="32"/>
              </w:rPr>
              <w:t>情况进行公示，如有意见建议，请反馈至莲华街道办事处。联系人员及电话：</w:t>
            </w:r>
            <w:r>
              <w:rPr>
                <w:rFonts w:ascii="Times New Roman" w:hAnsi="Times New Roman" w:eastAsia="仿宋_GB2312"/>
                <w:kern w:val="0"/>
                <w:szCs w:val="32"/>
              </w:rPr>
              <w:t>代柱芬，13759448901</w:t>
            </w:r>
          </w:p>
        </w:tc>
      </w:tr>
    </w:tbl>
    <w:p>
      <w:pPr>
        <w:pStyle w:val="2"/>
        <w:rPr>
          <w:rFonts w:hint="eastAsia"/>
        </w:rPr>
      </w:pPr>
    </w:p>
    <w:p>
      <w:pPr>
        <w:pStyle w:val="2"/>
        <w:rPr>
          <w:rFonts w:hint="eastAsia" w:ascii="仿宋_GB2312" w:eastAsia="仿宋_GB2312"/>
          <w:szCs w:val="32"/>
        </w:rPr>
      </w:pPr>
    </w:p>
    <w:p/>
    <w:p>
      <w:bookmarkStart w:id="0" w:name="_GoBack"/>
      <w:bookmarkEnd w:id="0"/>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36FBAAB-98FA-4C45-B5FE-D1FA8CF1D03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2" w:fontKey="{962C404F-DBE7-4BF1-9B7D-3B21BE2FC2BD}"/>
  </w:font>
  <w:font w:name="仿宋_GB2312">
    <w:panose1 w:val="02010609030101010101"/>
    <w:charset w:val="86"/>
    <w:family w:val="modern"/>
    <w:pitch w:val="default"/>
    <w:sig w:usb0="00000001" w:usb1="080E0000" w:usb2="00000000" w:usb3="00000000" w:csb0="00040000" w:csb1="00000000"/>
    <w:embedRegular r:id="rId3" w:fontKey="{1CC8E94E-4F88-426C-9929-8EA77230D0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3717"/>
    <w:rsid w:val="00172A27"/>
    <w:rsid w:val="00740562"/>
    <w:rsid w:val="00B672B3"/>
    <w:rsid w:val="00E2791D"/>
    <w:rsid w:val="00F977E5"/>
    <w:rsid w:val="03742335"/>
    <w:rsid w:val="06695DB5"/>
    <w:rsid w:val="0CF810DA"/>
    <w:rsid w:val="105E10D2"/>
    <w:rsid w:val="136D2F62"/>
    <w:rsid w:val="1B245A5F"/>
    <w:rsid w:val="20112553"/>
    <w:rsid w:val="2D71078D"/>
    <w:rsid w:val="2EF44E0A"/>
    <w:rsid w:val="30392A97"/>
    <w:rsid w:val="35ED1851"/>
    <w:rsid w:val="3AF04691"/>
    <w:rsid w:val="3CF75398"/>
    <w:rsid w:val="3DE7112B"/>
    <w:rsid w:val="41333E9F"/>
    <w:rsid w:val="46CE2E87"/>
    <w:rsid w:val="47F205C0"/>
    <w:rsid w:val="4A7A6223"/>
    <w:rsid w:val="4FD52D04"/>
    <w:rsid w:val="587146AD"/>
    <w:rsid w:val="5B450A89"/>
    <w:rsid w:val="605E24EA"/>
    <w:rsid w:val="6420293C"/>
    <w:rsid w:val="69AD5681"/>
    <w:rsid w:val="715B6C7E"/>
    <w:rsid w:val="71664787"/>
    <w:rsid w:val="73B579C9"/>
    <w:rsid w:val="74AF5979"/>
    <w:rsid w:val="777556C3"/>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109</Words>
  <Characters>623</Characters>
  <Lines>5</Lines>
  <Paragraphs>1</Paragraphs>
  <TotalTime>1</TotalTime>
  <ScaleCrop>false</ScaleCrop>
  <LinksUpToDate>false</LinksUpToDate>
  <CharactersWithSpaces>731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2022-05-27T02:36:00Z</dcterms:created>
  <dc:creator>Administrator</dc:creator>
  <cp:lastModifiedBy>李墨</cp:lastModifiedBy>
  <dcterms:modified xsi:type="dcterms:W3CDTF">2022-05-27T06:29:44Z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3ECDB633F77043229368426BF019D794</vt:lpwstr>
  </property>
</Properties>
</file>