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仿宋_GB2312" w:eastAsia="仿宋_GB2312"/>
          <w:szCs w:val="32"/>
        </w:rPr>
      </w:pPr>
      <w:r>
        <w:rPr>
          <w:rFonts w:hint="eastAsia" w:ascii="方正小标宋简体" w:hAnsi="方正小标宋简体" w:eastAsia="方正小标宋简体" w:cs="方正小标宋简体"/>
          <w:sz w:val="44"/>
          <w:szCs w:val="44"/>
        </w:rPr>
        <w:t>投诉问题</w:t>
      </w:r>
      <w:r>
        <w:rPr>
          <w:rFonts w:hint="eastAsia" w:ascii="方正小标宋简体" w:hAnsi="方正小标宋简体" w:eastAsia="方正小标宋简体" w:cs="方正小标宋简体"/>
          <w:sz w:val="44"/>
          <w:szCs w:val="44"/>
          <w:lang w:val="en-US" w:eastAsia="zh-CN"/>
        </w:rPr>
        <w:t>办结情况</w:t>
      </w:r>
      <w:r>
        <w:rPr>
          <w:rFonts w:hint="eastAsia" w:ascii="方正小标宋简体" w:hAnsi="方正小标宋简体" w:eastAsia="方正小标宋简体" w:cs="方正小标宋简体"/>
          <w:sz w:val="44"/>
          <w:szCs w:val="44"/>
        </w:rPr>
        <w:t>公示表</w:t>
      </w:r>
    </w:p>
    <w:p>
      <w:pPr>
        <w:rPr>
          <w:rFonts w:hint="eastAsia" w:ascii="仿宋_GB2312" w:eastAsia="仿宋_GB2312"/>
          <w:szCs w:val="32"/>
        </w:rPr>
      </w:pPr>
      <w:r>
        <w:rPr>
          <w:rFonts w:hint="eastAsia" w:ascii="仿宋_GB2312" w:eastAsia="仿宋_GB2312"/>
          <w:szCs w:val="32"/>
        </w:rPr>
        <w:t>公示单位：五华区人民政府　　      　</w:t>
      </w:r>
      <w:r>
        <w:rPr>
          <w:rFonts w:hint="eastAsia" w:ascii="仿宋_GB2312" w:eastAsia="仿宋_GB2312"/>
          <w:szCs w:val="32"/>
          <w:lang w:val="en-US" w:eastAsia="zh-CN"/>
        </w:rPr>
        <w:t xml:space="preserve">    </w:t>
      </w:r>
      <w:r>
        <w:rPr>
          <w:rFonts w:hint="eastAsia" w:ascii="仿宋_GB2312" w:eastAsia="仿宋_GB2312"/>
          <w:szCs w:val="32"/>
        </w:rPr>
        <w:t>20</w:t>
      </w:r>
      <w:r>
        <w:rPr>
          <w:rFonts w:hint="eastAsia" w:ascii="仿宋_GB2312" w:eastAsia="仿宋_GB2312"/>
          <w:szCs w:val="32"/>
          <w:lang w:val="en-US" w:eastAsia="zh-CN"/>
        </w:rPr>
        <w:t>22</w:t>
      </w:r>
      <w:r>
        <w:rPr>
          <w:rFonts w:hint="eastAsia" w:ascii="仿宋_GB2312" w:eastAsia="仿宋_GB2312"/>
          <w:szCs w:val="32"/>
        </w:rPr>
        <w:t>年</w:t>
      </w:r>
      <w:r>
        <w:rPr>
          <w:rFonts w:hint="eastAsia" w:ascii="仿宋_GB2312" w:eastAsia="仿宋_GB2312"/>
          <w:szCs w:val="32"/>
          <w:lang w:val="en-US" w:eastAsia="zh-CN"/>
        </w:rPr>
        <w:t>1</w:t>
      </w:r>
      <w:r>
        <w:rPr>
          <w:rFonts w:hint="eastAsia" w:ascii="仿宋_GB2312" w:eastAsia="仿宋_GB2312"/>
          <w:szCs w:val="32"/>
        </w:rPr>
        <w:t>月</w:t>
      </w:r>
      <w:r>
        <w:rPr>
          <w:rFonts w:hint="eastAsia" w:ascii="仿宋_GB2312" w:eastAsia="仿宋_GB2312"/>
          <w:szCs w:val="32"/>
          <w:lang w:val="en-US" w:eastAsia="zh-CN"/>
        </w:rPr>
        <w:t>30</w:t>
      </w:r>
      <w:r>
        <w:rPr>
          <w:rFonts w:hint="eastAsia" w:ascii="仿宋_GB2312" w:eastAsia="仿宋_GB2312"/>
          <w:szCs w:val="32"/>
        </w:rPr>
        <w:t>日</w:t>
      </w:r>
    </w:p>
    <w:tbl>
      <w:tblPr>
        <w:tblStyle w:val="6"/>
        <w:tblpPr w:leftFromText="180" w:rightFromText="180" w:vertAnchor="text" w:horzAnchor="page" w:tblpX="1567" w:tblpY="286"/>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2032" w:type="dxa"/>
            <w:vAlign w:val="center"/>
          </w:tcPr>
          <w:p>
            <w:pPr>
              <w:keepNext w:val="0"/>
              <w:keepLines w:val="0"/>
              <w:pageBreakBefore w:val="0"/>
              <w:kinsoku/>
              <w:wordWrap/>
              <w:overflowPunct/>
              <w:topLinePunct w:val="0"/>
              <w:autoSpaceDE w:val="0"/>
              <w:autoSpaceDN w:val="0"/>
              <w:bidi w:val="0"/>
              <w:adjustRightInd w:val="0"/>
              <w:snapToGrid/>
              <w:spacing w:line="320" w:lineRule="exact"/>
              <w:ind w:firstLine="320" w:firstLineChars="100"/>
              <w:textAlignment w:val="auto"/>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keepNext w:val="0"/>
              <w:keepLines w:val="0"/>
              <w:pageBreakBefore w:val="0"/>
              <w:kinsoku/>
              <w:wordWrap/>
              <w:overflowPunct/>
              <w:topLinePunct w:val="0"/>
              <w:autoSpaceDE w:val="0"/>
              <w:autoSpaceDN w:val="0"/>
              <w:bidi w:val="0"/>
              <w:adjustRightInd w:val="0"/>
              <w:snapToGrid/>
              <w:spacing w:line="3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受理编号：X2YN202104260043。投诉人反映：庄某某等二人（公司不详）将约50万方建筑垃圾、渣土倾倒在昆明市五华区右营社区广南已村第六居民小组余某某和付某某承包的大凹荒山上，产生大量扬尘，破坏环境。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2032" w:type="dxa"/>
            <w:vAlign w:val="center"/>
          </w:tcPr>
          <w:p>
            <w:pPr>
              <w:keepNext w:val="0"/>
              <w:keepLines w:val="0"/>
              <w:pageBreakBefore w:val="0"/>
              <w:widowControl/>
              <w:kinsoku/>
              <w:wordWrap/>
              <w:overflowPunct/>
              <w:topLinePunct w:val="0"/>
              <w:bidi w:val="0"/>
              <w:snapToGrid/>
              <w:spacing w:line="320" w:lineRule="exact"/>
              <w:jc w:val="center"/>
              <w:textAlignment w:val="auto"/>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kinsoku/>
              <w:wordWrap/>
              <w:overflowPunct/>
              <w:topLinePunct w:val="0"/>
              <w:autoSpaceDE w:val="0"/>
              <w:autoSpaceDN w:val="0"/>
              <w:bidi w:val="0"/>
              <w:adjustRightInd w:val="0"/>
              <w:snapToGrid/>
              <w:spacing w:line="3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经调查，该公司存在拆解车间内油污清理不及时的问题。石古山地质灾害及植被恢复项目现场覆土未采取防尘遮盖措施，存在扬尘隐患。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32" w:type="dxa"/>
            <w:vAlign w:val="center"/>
          </w:tcPr>
          <w:p>
            <w:pPr>
              <w:keepNext w:val="0"/>
              <w:keepLines w:val="0"/>
              <w:pageBreakBefore w:val="0"/>
              <w:widowControl/>
              <w:kinsoku/>
              <w:wordWrap/>
              <w:overflowPunct/>
              <w:topLinePunct w:val="0"/>
              <w:bidi w:val="0"/>
              <w:snapToGrid/>
              <w:spacing w:line="320" w:lineRule="exact"/>
              <w:jc w:val="center"/>
              <w:textAlignment w:val="auto"/>
              <w:rPr>
                <w:rFonts w:ascii="仿宋_GB2312" w:eastAsia="仿宋_GB2312"/>
                <w:szCs w:val="32"/>
              </w:rPr>
            </w:pPr>
            <w:r>
              <w:rPr>
                <w:rFonts w:hint="eastAsia" w:ascii="仿宋_GB2312" w:eastAsia="仿宋_GB2312"/>
                <w:szCs w:val="32"/>
                <w:lang w:val="en-US" w:eastAsia="zh-CN"/>
              </w:rPr>
              <w:t>办结</w:t>
            </w:r>
            <w:r>
              <w:rPr>
                <w:rFonts w:hint="eastAsia" w:ascii="仿宋_GB2312" w:eastAsia="仿宋_GB2312"/>
                <w:szCs w:val="32"/>
              </w:rPr>
              <w:t>情况</w:t>
            </w:r>
          </w:p>
        </w:tc>
        <w:tc>
          <w:tcPr>
            <w:tcW w:w="7648" w:type="dxa"/>
            <w:vAlign w:val="center"/>
          </w:tcPr>
          <w:p>
            <w:pPr>
              <w:keepNext w:val="0"/>
              <w:keepLines w:val="0"/>
              <w:pageBreakBefore w:val="0"/>
              <w:kinsoku/>
              <w:wordWrap/>
              <w:overflowPunct/>
              <w:topLinePunct w:val="0"/>
              <w:autoSpaceDE w:val="0"/>
              <w:autoSpaceDN w:val="0"/>
              <w:bidi w:val="0"/>
              <w:adjustRightInd w:val="0"/>
              <w:snapToGrid/>
              <w:spacing w:line="3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为防止“私拉乱倒”工程弃土问题，对云南帮发建筑工程公司下达整改通知书，要求对裸土采取防尘网覆盖，设置喷淋降尘设备对扬尘进行有效防治，严格做到文明施工。</w:t>
            </w:r>
          </w:p>
          <w:p>
            <w:pPr>
              <w:keepNext w:val="0"/>
              <w:keepLines w:val="0"/>
              <w:pageBreakBefore w:val="0"/>
              <w:kinsoku/>
              <w:wordWrap/>
              <w:overflowPunct/>
              <w:topLinePunct w:val="0"/>
              <w:autoSpaceDE w:val="0"/>
              <w:autoSpaceDN w:val="0"/>
              <w:bidi w:val="0"/>
              <w:adjustRightInd w:val="0"/>
              <w:snapToGrid/>
              <w:spacing w:line="3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成立专项工作小组，采用两班倒机制（两班均为一名负责人、两名成员组成，白班值守时间为9:30至18:00，夜班值守时间为19:00至次日9:00）进行巡查，确保每班巡查时长不少于8小时。同时在龙泉路新东方设置固定卡点，辐射至虚宁寺石古山，采取灵活多变的方式在石古山土场入口设置临时卡点，以高压态势，严防“私拉乱倒”违规违法行为。</w:t>
            </w:r>
          </w:p>
          <w:p>
            <w:pPr>
              <w:keepNext w:val="0"/>
              <w:keepLines w:val="0"/>
              <w:pageBreakBefore w:val="0"/>
              <w:kinsoku/>
              <w:wordWrap/>
              <w:overflowPunct/>
              <w:topLinePunct w:val="0"/>
              <w:autoSpaceDE w:val="0"/>
              <w:autoSpaceDN w:val="0"/>
              <w:bidi w:val="0"/>
              <w:adjustRightInd w:val="0"/>
              <w:snapToGrid/>
              <w:spacing w:line="3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3、按照管理职责职能，属地街道加大该区域内渣土运输的巡查、值守力度。</w:t>
            </w:r>
          </w:p>
          <w:p>
            <w:pPr>
              <w:keepNext w:val="0"/>
              <w:keepLines w:val="0"/>
              <w:pageBreakBefore w:val="0"/>
              <w:kinsoku/>
              <w:wordWrap/>
              <w:overflowPunct/>
              <w:topLinePunct w:val="0"/>
              <w:autoSpaceDE w:val="0"/>
              <w:autoSpaceDN w:val="0"/>
              <w:bidi w:val="0"/>
              <w:adjustRightInd w:val="0"/>
              <w:snapToGrid/>
              <w:spacing w:line="3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4、要求项目施工方在治理恢复过程中严格落实施工要求，对3万平方的裸土进行了防尘网覆盖，在雨季播种了草籽，有效防止扬尘污染。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032" w:type="dxa"/>
            <w:vAlign w:val="center"/>
          </w:tcPr>
          <w:p>
            <w:pPr>
              <w:keepNext w:val="0"/>
              <w:keepLines w:val="0"/>
              <w:pageBreakBefore w:val="0"/>
              <w:widowControl/>
              <w:kinsoku/>
              <w:wordWrap/>
              <w:overflowPunct/>
              <w:topLinePunct w:val="0"/>
              <w:bidi w:val="0"/>
              <w:snapToGrid/>
              <w:spacing w:line="320" w:lineRule="exact"/>
              <w:jc w:val="center"/>
              <w:textAlignment w:val="auto"/>
              <w:rPr>
                <w:rFonts w:ascii="仿宋_GB2312" w:eastAsia="仿宋_GB2312"/>
                <w:szCs w:val="32"/>
              </w:rPr>
            </w:pPr>
            <w:r>
              <w:rPr>
                <w:rFonts w:hint="eastAsia" w:ascii="仿宋_GB2312" w:eastAsia="仿宋_GB2312"/>
                <w:szCs w:val="32"/>
              </w:rPr>
              <w:t>办理单位</w:t>
            </w:r>
          </w:p>
        </w:tc>
        <w:tc>
          <w:tcPr>
            <w:tcW w:w="7648" w:type="dxa"/>
            <w:vAlign w:val="center"/>
          </w:tcPr>
          <w:p>
            <w:pPr>
              <w:keepNext w:val="0"/>
              <w:keepLines w:val="0"/>
              <w:pageBreakBefore w:val="0"/>
              <w:kinsoku/>
              <w:wordWrap/>
              <w:overflowPunct/>
              <w:topLinePunct w:val="0"/>
              <w:autoSpaceDE w:val="0"/>
              <w:autoSpaceDN w:val="0"/>
              <w:bidi w:val="0"/>
              <w:adjustRightInd w:val="0"/>
              <w:snapToGrid/>
              <w:spacing w:line="320" w:lineRule="exact"/>
              <w:ind w:firstLine="2520" w:firstLineChars="9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3" w:hRule="atLeast"/>
        </w:trPr>
        <w:tc>
          <w:tcPr>
            <w:tcW w:w="2032" w:type="dxa"/>
            <w:vAlign w:val="center"/>
          </w:tcPr>
          <w:p>
            <w:pPr>
              <w:keepNext w:val="0"/>
              <w:keepLines w:val="0"/>
              <w:pageBreakBefore w:val="0"/>
              <w:widowControl/>
              <w:kinsoku/>
              <w:wordWrap/>
              <w:overflowPunct/>
              <w:topLinePunct w:val="0"/>
              <w:bidi w:val="0"/>
              <w:snapToGrid/>
              <w:spacing w:line="320" w:lineRule="exact"/>
              <w:jc w:val="center"/>
              <w:textAlignment w:val="auto"/>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kinsoku/>
              <w:wordWrap/>
              <w:overflowPunct/>
              <w:topLinePunct w:val="0"/>
              <w:autoSpaceDE w:val="0"/>
              <w:autoSpaceDN w:val="0"/>
              <w:bidi w:val="0"/>
              <w:adjustRightInd w:val="0"/>
              <w:snapToGrid/>
              <w:spacing w:line="3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1、通过固定执守巡查和设置临时卡点，2021年5月以来未发现再次渣土倾倒行为；</w:t>
            </w:r>
            <w:bookmarkStart w:id="0" w:name="_GoBack"/>
            <w:bookmarkEnd w:id="0"/>
          </w:p>
          <w:p>
            <w:pPr>
              <w:keepNext w:val="0"/>
              <w:keepLines w:val="0"/>
              <w:pageBreakBefore w:val="0"/>
              <w:kinsoku/>
              <w:wordWrap/>
              <w:overflowPunct/>
              <w:topLinePunct w:val="0"/>
              <w:autoSpaceDE w:val="0"/>
              <w:autoSpaceDN w:val="0"/>
              <w:bidi w:val="0"/>
              <w:adjustRightInd w:val="0"/>
              <w:snapToGrid/>
              <w:spacing w:line="3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2、对裸土进行覆盖，播种草籽，有效抑制扬尘污染；</w:t>
            </w:r>
          </w:p>
          <w:p>
            <w:pPr>
              <w:keepNext w:val="0"/>
              <w:keepLines w:val="0"/>
              <w:pageBreakBefore w:val="0"/>
              <w:kinsoku/>
              <w:wordWrap/>
              <w:overflowPunct/>
              <w:topLinePunct w:val="0"/>
              <w:autoSpaceDE w:val="0"/>
              <w:autoSpaceDN w:val="0"/>
              <w:bidi w:val="0"/>
              <w:adjustRightInd w:val="0"/>
              <w:snapToGrid/>
              <w:spacing w:line="3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3、2021年6月3日区城市管理局召开右营社区村民代表民情恳谈会，通报整改情况，村民表示满意。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2032" w:type="dxa"/>
            <w:vAlign w:val="center"/>
          </w:tcPr>
          <w:p>
            <w:pPr>
              <w:keepNext w:val="0"/>
              <w:keepLines w:val="0"/>
              <w:pageBreakBefore w:val="0"/>
              <w:widowControl/>
              <w:kinsoku/>
              <w:wordWrap/>
              <w:overflowPunct/>
              <w:topLinePunct w:val="0"/>
              <w:bidi w:val="0"/>
              <w:snapToGrid/>
              <w:spacing w:line="320" w:lineRule="exact"/>
              <w:jc w:val="center"/>
              <w:textAlignment w:val="auto"/>
              <w:rPr>
                <w:rFonts w:ascii="仿宋_GB2312" w:eastAsia="仿宋_GB2312"/>
                <w:szCs w:val="32"/>
              </w:rPr>
            </w:pPr>
            <w:r>
              <w:rPr>
                <w:rFonts w:hint="eastAsia" w:ascii="仿宋_GB2312" w:eastAsia="仿宋_GB2312"/>
                <w:szCs w:val="32"/>
              </w:rPr>
              <w:t>公示说明</w:t>
            </w:r>
          </w:p>
        </w:tc>
        <w:tc>
          <w:tcPr>
            <w:tcW w:w="7648" w:type="dxa"/>
            <w:vAlign w:val="center"/>
          </w:tcPr>
          <w:p>
            <w:pPr>
              <w:keepNext w:val="0"/>
              <w:keepLines w:val="0"/>
              <w:pageBreakBefore w:val="0"/>
              <w:kinsoku/>
              <w:wordWrap/>
              <w:overflowPunct/>
              <w:topLinePunct w:val="0"/>
              <w:autoSpaceDE w:val="0"/>
              <w:autoSpaceDN w:val="0"/>
              <w:bidi w:val="0"/>
              <w:adjustRightInd w:val="0"/>
              <w:snapToGrid/>
              <w:spacing w:line="320" w:lineRule="exact"/>
              <w:ind w:firstLine="560" w:firstLineChars="200"/>
              <w:textAlignment w:val="auto"/>
              <w:rPr>
                <w:rFonts w:hint="default" w:ascii="Times New Roman" w:hAnsi="Times New Roman" w:eastAsia="仿宋_GB2312" w:cs="Arial"/>
                <w:color w:val="000000"/>
                <w:szCs w:val="32"/>
                <w:lang w:val="en-US" w:eastAsia="zh-CN"/>
              </w:rPr>
            </w:pPr>
            <w:r>
              <w:rPr>
                <w:rFonts w:hint="eastAsia" w:ascii="仿宋_GB2312" w:hAnsi="仿宋_GB2312" w:eastAsia="仿宋_GB2312" w:cs="仿宋_GB2312"/>
                <w:color w:val="000000"/>
                <w:sz w:val="28"/>
                <w:szCs w:val="28"/>
              </w:rPr>
              <w:t>现将该投诉问题</w:t>
            </w:r>
            <w:r>
              <w:rPr>
                <w:rFonts w:hint="eastAsia" w:ascii="仿宋_GB2312" w:hAnsi="仿宋_GB2312" w:eastAsia="仿宋_GB2312" w:cs="仿宋_GB2312"/>
                <w:color w:val="000000"/>
                <w:sz w:val="28"/>
                <w:szCs w:val="28"/>
                <w:lang w:val="en-US" w:eastAsia="zh-CN"/>
              </w:rPr>
              <w:t>办结</w:t>
            </w:r>
            <w:r>
              <w:rPr>
                <w:rFonts w:hint="eastAsia" w:ascii="仿宋_GB2312" w:hAnsi="仿宋_GB2312" w:eastAsia="仿宋_GB2312" w:cs="仿宋_GB2312"/>
                <w:color w:val="000000"/>
                <w:sz w:val="28"/>
                <w:szCs w:val="28"/>
              </w:rPr>
              <w:t>情况进行公示，如有意见建议，请反馈至区城市管理局。联系人员及电话：</w:t>
            </w:r>
            <w:r>
              <w:rPr>
                <w:rFonts w:hint="eastAsia" w:ascii="仿宋_GB2312" w:hAnsi="仿宋_GB2312" w:eastAsia="仿宋_GB2312" w:cs="仿宋_GB2312"/>
                <w:color w:val="000000"/>
                <w:sz w:val="28"/>
                <w:szCs w:val="28"/>
                <w:lang w:val="en-US" w:eastAsia="zh-CN"/>
              </w:rPr>
              <w:t>王文涛</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15825285925。</w:t>
            </w:r>
          </w:p>
        </w:tc>
      </w:tr>
    </w:tbl>
    <w:p>
      <w:pPr>
        <w:pStyle w:val="2"/>
        <w:rPr>
          <w:rFonts w:hint="eastAsia" w:ascii="仿宋_GB2312" w:eastAsia="仿宋_GB2312"/>
          <w:szCs w:val="32"/>
        </w:rPr>
      </w:pPr>
    </w:p>
    <w:p/>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11EEB"/>
    <w:rsid w:val="0041202A"/>
    <w:rsid w:val="004B01F0"/>
    <w:rsid w:val="004B09EE"/>
    <w:rsid w:val="004B1184"/>
    <w:rsid w:val="005017FF"/>
    <w:rsid w:val="0050746E"/>
    <w:rsid w:val="00537EFB"/>
    <w:rsid w:val="00555A7E"/>
    <w:rsid w:val="0056695C"/>
    <w:rsid w:val="00570204"/>
    <w:rsid w:val="00585D2E"/>
    <w:rsid w:val="0059758F"/>
    <w:rsid w:val="005C3C82"/>
    <w:rsid w:val="005E53C4"/>
    <w:rsid w:val="00602F70"/>
    <w:rsid w:val="00630BA3"/>
    <w:rsid w:val="007108C1"/>
    <w:rsid w:val="00717BEF"/>
    <w:rsid w:val="00755E18"/>
    <w:rsid w:val="0077605A"/>
    <w:rsid w:val="00800A98"/>
    <w:rsid w:val="00803AC3"/>
    <w:rsid w:val="008A1ED2"/>
    <w:rsid w:val="008B2738"/>
    <w:rsid w:val="00904C88"/>
    <w:rsid w:val="00976004"/>
    <w:rsid w:val="00986BA9"/>
    <w:rsid w:val="009D1B39"/>
    <w:rsid w:val="009E6A01"/>
    <w:rsid w:val="00A0145B"/>
    <w:rsid w:val="00A36E3A"/>
    <w:rsid w:val="00A67B38"/>
    <w:rsid w:val="00A849F2"/>
    <w:rsid w:val="00A93640"/>
    <w:rsid w:val="00C37949"/>
    <w:rsid w:val="00C67A5F"/>
    <w:rsid w:val="00D06B13"/>
    <w:rsid w:val="00D352EE"/>
    <w:rsid w:val="00D71C51"/>
    <w:rsid w:val="00D85EA0"/>
    <w:rsid w:val="00DB1EE3"/>
    <w:rsid w:val="00E2791D"/>
    <w:rsid w:val="00E518CF"/>
    <w:rsid w:val="00E63D9D"/>
    <w:rsid w:val="00ED1CB4"/>
    <w:rsid w:val="00ED6074"/>
    <w:rsid w:val="00F305EF"/>
    <w:rsid w:val="00F62976"/>
    <w:rsid w:val="00F93E39"/>
    <w:rsid w:val="00F974E7"/>
    <w:rsid w:val="00F977E5"/>
    <w:rsid w:val="07E12A8B"/>
    <w:rsid w:val="0CF810DA"/>
    <w:rsid w:val="0F560A80"/>
    <w:rsid w:val="105E10D2"/>
    <w:rsid w:val="10D66DA2"/>
    <w:rsid w:val="123D4306"/>
    <w:rsid w:val="132B1CD4"/>
    <w:rsid w:val="1B245A5F"/>
    <w:rsid w:val="1BAD0984"/>
    <w:rsid w:val="1C5F0BA0"/>
    <w:rsid w:val="1F8E7144"/>
    <w:rsid w:val="254D176F"/>
    <w:rsid w:val="27C35F60"/>
    <w:rsid w:val="28C759E8"/>
    <w:rsid w:val="2D71078D"/>
    <w:rsid w:val="2EF44E0A"/>
    <w:rsid w:val="32377CC6"/>
    <w:rsid w:val="35AE0C30"/>
    <w:rsid w:val="35ED1851"/>
    <w:rsid w:val="3AF04691"/>
    <w:rsid w:val="3CF75398"/>
    <w:rsid w:val="3DE7112B"/>
    <w:rsid w:val="41333E9F"/>
    <w:rsid w:val="46CE2E87"/>
    <w:rsid w:val="47F205C0"/>
    <w:rsid w:val="4A7A6223"/>
    <w:rsid w:val="4FD52D04"/>
    <w:rsid w:val="4FF01268"/>
    <w:rsid w:val="58481353"/>
    <w:rsid w:val="5B450A89"/>
    <w:rsid w:val="605E24EA"/>
    <w:rsid w:val="6420293C"/>
    <w:rsid w:val="64F77D1A"/>
    <w:rsid w:val="688F62D8"/>
    <w:rsid w:val="69AD5681"/>
    <w:rsid w:val="6C621134"/>
    <w:rsid w:val="6E6052F9"/>
    <w:rsid w:val="715B6C7E"/>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0"/>
    <w:rPr>
      <w:rFonts w:eastAsia="仿宋" w:cs="Arial"/>
      <w:kern w:val="2"/>
      <w:sz w:val="18"/>
      <w:szCs w:val="18"/>
    </w:rPr>
  </w:style>
  <w:style w:type="character" w:customStyle="1" w:styleId="9">
    <w:name w:val="页脚 Char"/>
    <w:basedOn w:val="7"/>
    <w:link w:val="3"/>
    <w:qFormat/>
    <w:uiPriority w:val="0"/>
    <w:rPr>
      <w:rFonts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87</Words>
  <Characters>496</Characters>
  <Lines>4</Lines>
  <Paragraphs>1</Paragraphs>
  <TotalTime>2</TotalTime>
  <ScaleCrop>false</ScaleCrop>
  <LinksUpToDate>false</LinksUpToDate>
  <CharactersWithSpaces>582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赖晓珏</cp:lastModifiedBy>
  <cp:lastPrinted>2022-02-11T03:44:00Z</cp:lastPrinted>
  <dcterms:modified xsi:type="dcterms:W3CDTF">2022-03-08T07:01:38Z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