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44" w:line="432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autoSpaceDN w:val="0"/>
        <w:spacing w:after="144" w:line="432" w:lineRule="auto"/>
        <w:jc w:val="center"/>
        <w:rPr>
          <w:rFonts w:hint="default" w:ascii="Times New Roman" w:hAnsi="Times New Roman" w:cs="Times New Roman"/>
          <w:b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2"/>
        </w:rPr>
        <w:t>政府信息公开情况统计表</w:t>
      </w:r>
    </w:p>
    <w:p>
      <w:pPr>
        <w:autoSpaceDN w:val="0"/>
        <w:spacing w:after="144" w:line="432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年度）</w:t>
      </w:r>
    </w:p>
    <w:p>
      <w:pPr>
        <w:autoSpaceDN w:val="0"/>
        <w:spacing w:after="144" w:line="432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　填报单位（盖章）：昆明市五华区交通运输局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（一）主动公开政府信息数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84</w:t>
            </w:r>
          </w:p>
        </w:tc>
      </w:tr>
      <w:tr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（一）回应公众关注热点或重大舆情数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法律法规规定的其他情形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autoSpaceDN w:val="0"/>
        <w:spacing w:after="144" w:line="432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单位负责人：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黄先成</w:t>
      </w:r>
      <w:r>
        <w:rPr>
          <w:rFonts w:hint="default" w:ascii="Times New Roman" w:hAnsi="Times New Roman" w:eastAsia="仿宋" w:cs="Times New Roman"/>
          <w:sz w:val="32"/>
          <w:szCs w:val="32"/>
        </w:rPr>
        <w:t>　　　　　　　　审核人：冯皑　　</w:t>
      </w:r>
    </w:p>
    <w:p>
      <w:pPr>
        <w:autoSpaceDN w:val="0"/>
        <w:spacing w:after="144" w:line="432" w:lineRule="auto"/>
        <w:ind w:firstLine="160" w:firstLineChars="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填报人：张伟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联系电话：6419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1234</w:t>
      </w:r>
      <w:r>
        <w:rPr>
          <w:rFonts w:hint="default" w:ascii="Times New Roman" w:hAnsi="Times New Roman" w:eastAsia="仿宋" w:cs="Times New Roman"/>
          <w:sz w:val="32"/>
          <w:szCs w:val="32"/>
        </w:rPr>
        <w:t>　　　　　　　　　　　　　　　  填报日期：201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年1月1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2017-01-17T06:13:04Z</dcterms:created>
  <dc:creator>dell</dc:creator>
  <cp:lastModifiedBy>dell</cp:lastModifiedBy>
  <dcterms:modified xsi:type="dcterms:W3CDTF">2017-01-17T06:13:41Z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7E8D6DAFD01940CBBBC20D9FE1803D9C</vt:lpwstr>
  </property>
</Properties>
</file>