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9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受理编号：X2YN202105030012。投诉人反映：昆明市五华区大观街道新闻南路65号（云南白药厂宿舍）1栋旁一家麻将馆以老年活动中心名义长期聚众赌博至深夜，噪声严重影响周边住户休息。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color="auto" w:fill="FFFFFF" w:themeFill="background1"/>
              </w:rPr>
              <w:t>云南白药厂宿舍1栋旁，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有一间大约50平米的房间，内有8张麻将桌，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现场无娱乐人员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，只有管理者严浩昆在房间内，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街道办事处配合民警现场对管理者严浩昆进行了法制宣传，同时民警对噪音扰民情况下发了噪音管理主体责任告知书。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调查了解：院内活动室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为家委会老年活动室，仅</w:t>
            </w:r>
            <w:r>
              <w:rPr>
                <w:rFonts w:hint="eastAsia" w:ascii="仿宋_GB2312" w:eastAsia="仿宋_GB2312"/>
                <w:sz w:val="32"/>
                <w:szCs w:val="32"/>
              </w:rPr>
              <w:t>对白药集团的退休职工开放，不对外经营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不存在赌博性质。</w:t>
            </w:r>
            <w:r>
              <w:rPr>
                <w:rFonts w:hint="eastAsia" w:ascii="仿宋_GB2312" w:eastAsia="仿宋_GB2312"/>
                <w:sz w:val="32"/>
                <w:szCs w:val="32"/>
              </w:rPr>
              <w:t>活动室由新闻南路65号家委会进行管理，活动室有8张桌子，提供麻将、象棋、扑克等棋牌娱乐，收取2角到20元不等的费用作为茶水费、电费、卫生费。活动室开放时间为早9:30至23:30，目前的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管理者严浩昆是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家委会副主任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ascii="仿宋_GB2312" w:hAnsi="黑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1.社区民警下发了噪音管理主体责任告知书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，要求管理者不得延长经营时间，避免噪音扰民，不得有赌博行为。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2.搭建民情民意沟通平台，以确定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院内老年活动室的整顿意向。</w:t>
            </w:r>
            <w:r>
              <w:rPr>
                <w:rFonts w:hint="eastAsia" w:ascii="仿宋_GB2312" w:eastAsia="仿宋_GB2312"/>
                <w:sz w:val="32"/>
                <w:szCs w:val="32"/>
              </w:rPr>
              <w:t>大观街道、新闻里社区工作人员在活动室、小区公告栏张贴了社区的公众号二维码，通过公众号加强社区居民的沟通了解，通过5月4日以来的入户走访调查和民情恳谈会，多数民众反映希望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院内老年活动室继续开放，适当调整娱乐时间。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大观街道办事处、公安五华分局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2021年5月7日，大观街道办事处组织五华公安分局治安大队、社区工作人员进行了现场复查，新闻南路65号院内老年活动室已暂停开放，正在进行规范治理整顿，老年活动室开放娱乐时间已调整为9:00-19：00，现场已对治理情况及娱乐开放时间调整进行了粘贴通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现将该投诉问题办理情况进行公示，如有意见建议，请反馈至大观街道办事处、公安五华分局，联系人员及电话：宋胡翔，13577065185，汪军江，13888305491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0A3A13"/>
    <w:rsid w:val="07E12A8B"/>
    <w:rsid w:val="09113CEE"/>
    <w:rsid w:val="0CF810DA"/>
    <w:rsid w:val="0D584358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AF04691"/>
    <w:rsid w:val="3CF75398"/>
    <w:rsid w:val="3DE7112B"/>
    <w:rsid w:val="41333E9F"/>
    <w:rsid w:val="42793626"/>
    <w:rsid w:val="46CE2E87"/>
    <w:rsid w:val="47F205C0"/>
    <w:rsid w:val="49097068"/>
    <w:rsid w:val="4A7A6223"/>
    <w:rsid w:val="4CE54588"/>
    <w:rsid w:val="4FD52D04"/>
    <w:rsid w:val="5B450A89"/>
    <w:rsid w:val="5BF549ED"/>
    <w:rsid w:val="5D180BB0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2E83C3A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6</TotalTime>
  <ScaleCrop>false</ScaleCrop>
  <LinksUpToDate>false</LinksUpToDate>
  <CharactersWithSpaces>309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Guevara</cp:lastModifiedBy>
  <cp:lastPrinted>2021-04-19T11:45:00Z</cp:lastPrinted>
  <dcterms:modified xsi:type="dcterms:W3CDTF">2021-05-10T02:44:37Z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3ECDB633F77043229368426BF019D794</vt:lpwstr>
  </property>
</Properties>
</file>