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5C" w:rsidRDefault="00E17D5C" w:rsidP="00E17D5C">
      <w:pPr>
        <w:spacing w:line="0" w:lineRule="atLeast"/>
        <w:jc w:val="center"/>
        <w:rPr>
          <w:rFonts w:ascii="方正大标宋简体" w:eastAsia="方正大标宋简体"/>
          <w:sz w:val="44"/>
        </w:rPr>
      </w:pPr>
      <w:r w:rsidRPr="00F03B95">
        <w:rPr>
          <w:rFonts w:ascii="方正小标宋_GBK" w:eastAsia="方正小标宋_GBK" w:hAnsi="方正小标宋_GBK" w:hint="eastAsia"/>
          <w:color w:val="FF0000"/>
          <w:spacing w:val="50"/>
          <w:w w:val="90"/>
          <w:sz w:val="72"/>
        </w:rPr>
        <w:t>昆明市五华区司法局文件</w:t>
      </w:r>
    </w:p>
    <w:p w:rsidR="00E17D5C" w:rsidRDefault="00E17D5C" w:rsidP="00E17D5C">
      <w:pPr>
        <w:spacing w:line="0" w:lineRule="atLeast"/>
        <w:jc w:val="center"/>
        <w:rPr>
          <w:rFonts w:eastAsia="仿宋_GB2312"/>
          <w:spacing w:val="14"/>
          <w:sz w:val="32"/>
        </w:rPr>
      </w:pPr>
    </w:p>
    <w:p w:rsidR="00E17D5C" w:rsidRDefault="00E17D5C" w:rsidP="00E17D5C">
      <w:pPr>
        <w:jc w:val="center"/>
        <w:rPr>
          <w:rFonts w:eastAsia="仿宋_GB2312"/>
          <w:spacing w:val="20"/>
          <w:sz w:val="32"/>
        </w:rPr>
      </w:pPr>
    </w:p>
    <w:p w:rsidR="00E17D5C" w:rsidRDefault="00E17D5C" w:rsidP="00E17D5C">
      <w:pPr>
        <w:jc w:val="center"/>
        <w:rPr>
          <w:rFonts w:eastAsia="仿宋_GB2312"/>
          <w:spacing w:val="20"/>
          <w:sz w:val="32"/>
        </w:rPr>
      </w:pPr>
    </w:p>
    <w:p w:rsidR="00E17D5C" w:rsidRDefault="00E17D5C" w:rsidP="00E17D5C">
      <w:pPr>
        <w:jc w:val="center"/>
        <w:rPr>
          <w:rFonts w:eastAsia="仿宋_GB2312"/>
          <w:spacing w:val="20"/>
          <w:sz w:val="32"/>
        </w:rPr>
      </w:pPr>
      <w:r w:rsidRPr="00884CC6">
        <w:rPr>
          <w:rFonts w:eastAsia="仿宋_GB2312"/>
          <w:spacing w:val="20"/>
          <w:sz w:val="32"/>
        </w:rPr>
        <w:t>昆五司〔</w:t>
      </w:r>
      <w:r w:rsidRPr="00884CC6">
        <w:rPr>
          <w:rFonts w:eastAsia="仿宋_GB2312"/>
          <w:spacing w:val="20"/>
          <w:sz w:val="32"/>
        </w:rPr>
        <w:t>20</w:t>
      </w:r>
      <w:r w:rsidRPr="00884CC6">
        <w:rPr>
          <w:rFonts w:eastAsia="仿宋_GB2312" w:hint="eastAsia"/>
          <w:spacing w:val="20"/>
          <w:sz w:val="32"/>
        </w:rPr>
        <w:t>1</w:t>
      </w:r>
      <w:r>
        <w:rPr>
          <w:rFonts w:eastAsia="仿宋_GB2312" w:hint="eastAsia"/>
          <w:spacing w:val="20"/>
          <w:sz w:val="32"/>
        </w:rPr>
        <w:t>7</w:t>
      </w:r>
      <w:r w:rsidRPr="00884CC6">
        <w:rPr>
          <w:rFonts w:eastAsia="仿宋_GB2312"/>
          <w:spacing w:val="20"/>
          <w:sz w:val="32"/>
        </w:rPr>
        <w:t>〕</w:t>
      </w:r>
      <w:r>
        <w:rPr>
          <w:rFonts w:eastAsia="仿宋_GB2312" w:hint="eastAsia"/>
          <w:spacing w:val="20"/>
          <w:sz w:val="32"/>
        </w:rPr>
        <w:t>23</w:t>
      </w:r>
      <w:r w:rsidRPr="00884CC6">
        <w:rPr>
          <w:rFonts w:eastAsia="仿宋_GB2312"/>
          <w:spacing w:val="20"/>
          <w:sz w:val="32"/>
        </w:rPr>
        <w:t>号</w:t>
      </w:r>
    </w:p>
    <w:p w:rsidR="00E17D5C" w:rsidRPr="00884CC6" w:rsidRDefault="00E17D5C" w:rsidP="00E17D5C">
      <w:pPr>
        <w:jc w:val="center"/>
        <w:rPr>
          <w:rFonts w:ascii="方正小标宋_GBK" w:eastAsia="方正小标宋_GBK" w:hAnsi="方正小标宋_GBK"/>
          <w:sz w:val="44"/>
          <w:szCs w:val="44"/>
        </w:rPr>
      </w:pPr>
      <w:r w:rsidRPr="005737BB">
        <w:rPr>
          <w:noProof/>
          <w:szCs w:val="24"/>
        </w:rPr>
        <w:pict>
          <v:line id="直接连接符 4" o:spid="_x0000_s1026" style="position:absolute;left:0;text-align:left;z-index:251658240;visibility:visible;mso-wrap-distance-top:-3e-5mm;mso-wrap-distance-bottom:-3e-5mm" from="-11.05pt,16.25pt" to="453.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xGMA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" strokecolor="red" strokeweight="1.5pt"/>
        </w:pict>
      </w:r>
    </w:p>
    <w:p w:rsidR="00E17D5C" w:rsidRDefault="00E17D5C" w:rsidP="00E17D5C"/>
    <w:p w:rsidR="00DF45DD" w:rsidRPr="00DF45DD" w:rsidRDefault="00DF45DD" w:rsidP="00D04232">
      <w:pPr>
        <w:adjustRightInd w:val="0"/>
        <w:snapToGrid w:val="0"/>
        <w:spacing w:line="700" w:lineRule="exact"/>
        <w:jc w:val="center"/>
        <w:textAlignment w:val="baseline"/>
        <w:rPr>
          <w:rFonts w:ascii="方正小标宋_GBK" w:eastAsia="方正小标宋_GBK" w:hAnsi="Arial"/>
          <w:kern w:val="0"/>
          <w:sz w:val="44"/>
          <w:szCs w:val="44"/>
        </w:rPr>
      </w:pPr>
      <w:r w:rsidRPr="00DF45DD">
        <w:rPr>
          <w:rFonts w:ascii="方正小标宋_GBK" w:eastAsia="方正小标宋_GBK" w:hAnsi="Arial"/>
          <w:kern w:val="0"/>
          <w:sz w:val="44"/>
          <w:szCs w:val="44"/>
        </w:rPr>
        <w:t>关于对政协五华区</w:t>
      </w:r>
      <w:r w:rsidRPr="00DF45DD">
        <w:rPr>
          <w:rFonts w:ascii="方正小标宋_GBK" w:eastAsia="方正小标宋_GBK" w:hAnsi="Arial" w:hint="eastAsia"/>
          <w:kern w:val="0"/>
          <w:sz w:val="44"/>
          <w:szCs w:val="44"/>
        </w:rPr>
        <w:t>九</w:t>
      </w:r>
      <w:r w:rsidRPr="00DF45DD">
        <w:rPr>
          <w:rFonts w:ascii="方正小标宋_GBK" w:eastAsia="方正小标宋_GBK" w:hAnsi="Arial"/>
          <w:kern w:val="0"/>
          <w:sz w:val="44"/>
          <w:szCs w:val="44"/>
        </w:rPr>
        <w:t>届</w:t>
      </w:r>
      <w:r w:rsidRPr="00DF45DD">
        <w:rPr>
          <w:rFonts w:ascii="方正小标宋_GBK" w:eastAsia="方正小标宋_GBK" w:hAnsi="Arial" w:hint="eastAsia"/>
          <w:kern w:val="0"/>
          <w:sz w:val="44"/>
          <w:szCs w:val="44"/>
        </w:rPr>
        <w:t>一</w:t>
      </w:r>
      <w:r w:rsidRPr="00DF45DD">
        <w:rPr>
          <w:rFonts w:ascii="方正小标宋_GBK" w:eastAsia="方正小标宋_GBK" w:hAnsi="Arial"/>
          <w:kern w:val="0"/>
          <w:sz w:val="44"/>
          <w:szCs w:val="44"/>
        </w:rPr>
        <w:t>次会议</w:t>
      </w:r>
    </w:p>
    <w:p w:rsidR="00DF45DD" w:rsidRPr="00DF45DD" w:rsidRDefault="00DF45DD" w:rsidP="00D04232">
      <w:pPr>
        <w:adjustRightInd w:val="0"/>
        <w:snapToGrid w:val="0"/>
        <w:spacing w:line="700" w:lineRule="exact"/>
        <w:jc w:val="center"/>
        <w:textAlignment w:val="baseline"/>
        <w:rPr>
          <w:rFonts w:ascii="方正小标宋_GBK" w:eastAsia="方正小标宋_GBK" w:hAnsi="Arial"/>
          <w:kern w:val="0"/>
          <w:sz w:val="44"/>
          <w:szCs w:val="44"/>
        </w:rPr>
      </w:pPr>
      <w:r w:rsidRPr="00DF45DD">
        <w:rPr>
          <w:rFonts w:ascii="方正小标宋_GBK" w:eastAsia="方正小标宋_GBK" w:hAnsi="Arial"/>
          <w:kern w:val="0"/>
          <w:sz w:val="44"/>
          <w:szCs w:val="44"/>
        </w:rPr>
        <w:t>第</w:t>
      </w:r>
      <w:r w:rsidRPr="00DF45DD">
        <w:rPr>
          <w:rFonts w:ascii="方正小标宋_GBK" w:eastAsia="方正小标宋_GBK" w:hAnsi="Arial" w:hint="eastAsia"/>
          <w:kern w:val="0"/>
          <w:sz w:val="44"/>
          <w:szCs w:val="44"/>
        </w:rPr>
        <w:t>17D18</w:t>
      </w:r>
      <w:r w:rsidRPr="00DF45DD">
        <w:rPr>
          <w:rFonts w:ascii="方正小标宋_GBK" w:eastAsia="方正小标宋_GBK" w:hAnsi="Arial"/>
          <w:kern w:val="0"/>
          <w:sz w:val="44"/>
          <w:szCs w:val="44"/>
        </w:rPr>
        <w:t>号提案的答复</w:t>
      </w:r>
    </w:p>
    <w:p w:rsidR="00DF45DD" w:rsidRPr="00DF45DD" w:rsidRDefault="00DF45DD" w:rsidP="00DF45DD">
      <w:pPr>
        <w:snapToGrid w:val="0"/>
        <w:spacing w:line="520" w:lineRule="exact"/>
        <w:ind w:firstLineChars="250" w:firstLine="800"/>
        <w:jc w:val="left"/>
        <w:rPr>
          <w:rFonts w:ascii="仿宋_GB2312" w:eastAsia="仿宋_GB2312"/>
          <w:sz w:val="32"/>
          <w:szCs w:val="32"/>
        </w:rPr>
      </w:pPr>
    </w:p>
    <w:p w:rsidR="00DF45DD" w:rsidRPr="00DF45DD" w:rsidRDefault="00DF45DD" w:rsidP="00534BBD">
      <w:pPr>
        <w:snapToGrid w:val="0"/>
        <w:spacing w:line="600" w:lineRule="exact"/>
        <w:jc w:val="left"/>
        <w:rPr>
          <w:rFonts w:ascii="仿宋_GB2312" w:eastAsia="仿宋_GB2312"/>
          <w:sz w:val="32"/>
          <w:szCs w:val="32"/>
        </w:rPr>
      </w:pPr>
      <w:r w:rsidRPr="00DF45DD">
        <w:rPr>
          <w:rFonts w:ascii="仿宋_GB2312" w:eastAsia="仿宋_GB2312" w:hint="eastAsia"/>
          <w:sz w:val="32"/>
          <w:szCs w:val="32"/>
        </w:rPr>
        <w:t>尊敬的段伟委员：</w:t>
      </w:r>
    </w:p>
    <w:p w:rsidR="00DF45DD" w:rsidRPr="00DF45DD" w:rsidRDefault="00DF45DD" w:rsidP="00534BBD">
      <w:pPr>
        <w:snapToGrid w:val="0"/>
        <w:spacing w:line="600" w:lineRule="exact"/>
        <w:ind w:firstLineChars="200" w:firstLine="640"/>
        <w:jc w:val="left"/>
        <w:rPr>
          <w:rFonts w:ascii="仿宋_GB2312" w:eastAsia="仿宋_GB2312"/>
          <w:sz w:val="32"/>
          <w:szCs w:val="32"/>
        </w:rPr>
      </w:pPr>
      <w:r w:rsidRPr="00DF45DD">
        <w:rPr>
          <w:rFonts w:ascii="仿宋_GB2312" w:eastAsia="仿宋_GB2312" w:hint="eastAsia"/>
          <w:sz w:val="32"/>
          <w:szCs w:val="32"/>
        </w:rPr>
        <w:t>您提出的《关于建立五华区法律援助中心接待场所的建议》的提案，已交我局研究办理，现答复如下：</w:t>
      </w:r>
    </w:p>
    <w:p w:rsidR="00DF45DD" w:rsidRPr="00DF45DD" w:rsidRDefault="00DF45DD" w:rsidP="00534BBD">
      <w:pPr>
        <w:spacing w:line="600" w:lineRule="exact"/>
        <w:ind w:firstLineChars="200" w:firstLine="640"/>
        <w:rPr>
          <w:rFonts w:ascii="黑体" w:eastAsia="黑体" w:hAnsi="黑体"/>
          <w:sz w:val="32"/>
          <w:szCs w:val="32"/>
        </w:rPr>
      </w:pPr>
      <w:r w:rsidRPr="00DF45DD">
        <w:rPr>
          <w:rFonts w:ascii="黑体" w:eastAsia="黑体" w:hAnsi="黑体" w:hint="eastAsia"/>
          <w:sz w:val="32"/>
          <w:szCs w:val="32"/>
        </w:rPr>
        <w:t>一、五华区法律援助工作取得的成效</w:t>
      </w:r>
    </w:p>
    <w:p w:rsidR="00DF45DD" w:rsidRPr="00DF45DD" w:rsidRDefault="00DF45DD" w:rsidP="00534BBD">
      <w:pPr>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五华区自2001年开展法律援助工作以来，在区委、区政府的正确领导和上级司法行政机关的指导下，紧紧围绕经济社会发展和人民群众的实际需要，狠抓国务院《法律援助条例》、《云南省法律援助条例》等法律法规的落实，不断提升法律援助质量，扩大法律援助范围，完善健全体制机制，保证人民群众获得及时有效的法律帮助。五华区法律援助工作先后获得司法部、省司法厅的高度认可，因工作突出，五华区法律援助中心连续两届（2012</w:t>
      </w:r>
      <w:r w:rsidRPr="00DF45DD">
        <w:rPr>
          <w:rFonts w:ascii="仿宋" w:eastAsia="仿宋" w:hAnsi="仿宋" w:hint="eastAsia"/>
          <w:spacing w:val="-6"/>
          <w:sz w:val="32"/>
          <w:szCs w:val="32"/>
        </w:rPr>
        <w:lastRenderedPageBreak/>
        <w:t>年第四届、2016年第五届）荣获“全国法律援助工作先进集体”荣誉称号，在全省首届法律援助公益短片大赛中荣获一等奖殊荣，并获封昆明市“敬老文明号”荣誉称号。</w:t>
      </w:r>
    </w:p>
    <w:p w:rsidR="00DF45DD" w:rsidRPr="00DF45DD" w:rsidRDefault="00DF45DD" w:rsidP="00534BBD">
      <w:pPr>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自2014年1月1日至2017年4月底，全区共受理法律援助案件1414件，办理1414件，其中刑事601件，民事813件，代书25件。148法律服务热线共接待来访咨询490件，来电咨询408件，接线率为100%，切实维护了困难群众的合法权益，彰显了法律援助制度在社会建设中的重要作用，取得了良好的社会和经济效果，受到了受援群众的高度赞扬和社会的广泛认可。</w:t>
      </w:r>
    </w:p>
    <w:p w:rsidR="00DF45DD" w:rsidRPr="00DF45DD" w:rsidRDefault="00DF45DD" w:rsidP="00534BBD">
      <w:pPr>
        <w:spacing w:line="600" w:lineRule="exact"/>
        <w:ind w:firstLineChars="200" w:firstLine="640"/>
        <w:rPr>
          <w:rFonts w:ascii="楷体" w:eastAsia="楷体" w:hAnsi="楷体" w:cs="楷体"/>
          <w:bCs/>
          <w:sz w:val="32"/>
          <w:szCs w:val="32"/>
        </w:rPr>
      </w:pPr>
      <w:r w:rsidRPr="00DF45DD">
        <w:rPr>
          <w:rFonts w:ascii="楷体" w:eastAsia="楷体" w:hAnsi="楷体" w:cs="楷体" w:hint="eastAsia"/>
          <w:bCs/>
          <w:sz w:val="32"/>
          <w:szCs w:val="32"/>
        </w:rPr>
        <w:t>（一）构建四级工作网络，完善法律援助便民服务机制，让群众就近及时获得法律援助服务</w:t>
      </w:r>
    </w:p>
    <w:p w:rsidR="00DF45DD" w:rsidRPr="00DF45DD" w:rsidRDefault="00DF45DD" w:rsidP="00534BBD">
      <w:pPr>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五华区现己建立了以区法律援助中心为一级，区残疾人法律援助分中心、各职能部门法律援助工作站、律师事务所法律援助工作站为二级，街道办事处法律援助工作站为三级，各社区（含居民小区、村小组）法律援助联系点为四级的法律援助工作网络，每个站点均配备具有一定法律知识的人员作为站点的负责人或联络员，为群众提供法律援助服务。</w:t>
      </w:r>
    </w:p>
    <w:p w:rsidR="00DF45DD" w:rsidRPr="00DF45DD" w:rsidRDefault="00DF45DD" w:rsidP="00534BBD">
      <w:pPr>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同时，五华区不断完善法律援助便民服务机制，让群众及时便利的获得法律援助。</w:t>
      </w:r>
      <w:r w:rsidRPr="00DF45DD">
        <w:rPr>
          <w:rFonts w:ascii="仿宋" w:eastAsia="仿宋" w:hAnsi="仿宋" w:hint="eastAsia"/>
          <w:b/>
          <w:spacing w:val="-6"/>
          <w:sz w:val="32"/>
          <w:szCs w:val="32"/>
        </w:rPr>
        <w:t>一是</w:t>
      </w:r>
      <w:r w:rsidRPr="00DF45DD">
        <w:rPr>
          <w:rFonts w:ascii="仿宋" w:eastAsia="仿宋" w:hAnsi="仿宋" w:hint="eastAsia"/>
          <w:spacing w:val="-6"/>
          <w:sz w:val="32"/>
          <w:szCs w:val="32"/>
        </w:rPr>
        <w:t>加强法律援助便民服务窗口建设，改进服务作风，推行服务承诺制、首问负责制、限时办结制、援务公开制。</w:t>
      </w:r>
      <w:r w:rsidRPr="00DF45DD">
        <w:rPr>
          <w:rFonts w:ascii="仿宋" w:eastAsia="仿宋" w:hAnsi="仿宋" w:hint="eastAsia"/>
          <w:b/>
          <w:spacing w:val="-6"/>
          <w:sz w:val="32"/>
          <w:szCs w:val="32"/>
        </w:rPr>
        <w:t>二是</w:t>
      </w:r>
      <w:r w:rsidRPr="00DF45DD">
        <w:rPr>
          <w:rFonts w:ascii="仿宋" w:eastAsia="仿宋" w:hAnsi="仿宋" w:hint="eastAsia"/>
          <w:spacing w:val="-6"/>
          <w:sz w:val="32"/>
          <w:szCs w:val="32"/>
        </w:rPr>
        <w:t>拓宽便民渠道，实现法律援助与群众零距离。现五华区法律援助中心已在16家职能部门、区属27家律师事务所设</w:t>
      </w:r>
      <w:r w:rsidRPr="00DF45DD">
        <w:rPr>
          <w:rFonts w:ascii="仿宋" w:eastAsia="仿宋" w:hAnsi="仿宋" w:hint="eastAsia"/>
          <w:spacing w:val="-6"/>
          <w:sz w:val="32"/>
          <w:szCs w:val="32"/>
        </w:rPr>
        <w:lastRenderedPageBreak/>
        <w:t>立了法律援助工作站。2017年，又新建了五华区人民法院法律援助工作站，为前来诉讼的群众提供免费的法律援助服务。同时积极推行网上申请、电话申请、预约申请、上门受理等多项便民服务方式。</w:t>
      </w:r>
      <w:r w:rsidRPr="00DF45DD">
        <w:rPr>
          <w:rFonts w:ascii="仿宋" w:eastAsia="仿宋" w:hAnsi="仿宋" w:hint="eastAsia"/>
          <w:b/>
          <w:spacing w:val="-6"/>
          <w:sz w:val="32"/>
          <w:szCs w:val="32"/>
        </w:rPr>
        <w:t>三是</w:t>
      </w:r>
      <w:r w:rsidRPr="00DF45DD">
        <w:rPr>
          <w:rFonts w:ascii="仿宋" w:eastAsia="仿宋" w:hAnsi="仿宋" w:hint="eastAsia"/>
          <w:spacing w:val="-6"/>
          <w:sz w:val="32"/>
          <w:szCs w:val="32"/>
        </w:rPr>
        <w:t>实现了残疾人法律援助“五个无盲区”，即“援助网络无盲区、援助队伍无盲区、援助宣传无盲区、援助措施无盲区、援助设施无盲区”，切实维护残疾人合法权益。2014年到2017年4月底，全区共受理残疾人案件91件。</w:t>
      </w:r>
    </w:p>
    <w:p w:rsidR="00DF45DD" w:rsidRPr="00DF45DD" w:rsidRDefault="00DF45DD" w:rsidP="00534BBD">
      <w:pPr>
        <w:spacing w:line="600" w:lineRule="exact"/>
        <w:ind w:firstLineChars="200" w:firstLine="616"/>
        <w:rPr>
          <w:rFonts w:ascii="楷体" w:eastAsia="楷体" w:hAnsi="楷体"/>
          <w:spacing w:val="-6"/>
          <w:sz w:val="32"/>
          <w:szCs w:val="32"/>
        </w:rPr>
      </w:pPr>
      <w:r w:rsidRPr="00DF45DD">
        <w:rPr>
          <w:rFonts w:ascii="楷体" w:eastAsia="楷体" w:hAnsi="楷体" w:hint="eastAsia"/>
          <w:spacing w:val="-6"/>
          <w:sz w:val="32"/>
          <w:szCs w:val="32"/>
        </w:rPr>
        <w:t>（二）扩大援助范围，放宽经济困难审查标准，大力开展法律援助“应援尽援”惠民工作</w:t>
      </w:r>
    </w:p>
    <w:p w:rsidR="00DF45DD" w:rsidRPr="00DF45DD" w:rsidRDefault="00DF45DD" w:rsidP="00534BBD">
      <w:pPr>
        <w:spacing w:line="600" w:lineRule="exact"/>
        <w:ind w:firstLine="646"/>
        <w:rPr>
          <w:rFonts w:ascii="仿宋" w:eastAsia="仿宋" w:hAnsi="仿宋"/>
          <w:sz w:val="32"/>
          <w:szCs w:val="32"/>
        </w:rPr>
      </w:pPr>
      <w:r w:rsidRPr="00DF45DD">
        <w:rPr>
          <w:rFonts w:ascii="仿宋" w:eastAsia="仿宋" w:hAnsi="仿宋" w:hint="eastAsia"/>
          <w:sz w:val="32"/>
          <w:szCs w:val="32"/>
        </w:rPr>
        <w:t>根据省市关于完善法律援助制度的相关要求，五华区以区委办、区政府办的名义下发了《五华区关于完善法律援助制度的实施方案》（以下简称《方案》）。《方案》进一步扩大了法律援助事项范围，放宽经济困难审查标准至低保的2.5倍，并对一些特殊的当事人和特殊事项不再审查其经济困难条件，特别是农民工、残疾人请求支付劳动报酬、劳动保障、社会保险、工伤损害赔偿和人身损害赔偿的；70岁以上以及患有重大疾病的老年人等。</w:t>
      </w:r>
    </w:p>
    <w:p w:rsidR="00DF45DD" w:rsidRPr="00DF45DD" w:rsidRDefault="00DF45DD" w:rsidP="00534BBD">
      <w:pPr>
        <w:spacing w:line="600" w:lineRule="exact"/>
        <w:ind w:firstLineChars="200" w:firstLine="640"/>
        <w:rPr>
          <w:rFonts w:ascii="楷体" w:eastAsia="楷体" w:hAnsi="楷体"/>
          <w:sz w:val="32"/>
          <w:szCs w:val="32"/>
        </w:rPr>
      </w:pPr>
      <w:r w:rsidRPr="00DF45DD">
        <w:rPr>
          <w:rFonts w:ascii="楷体" w:eastAsia="楷体" w:hAnsi="楷体" w:cs="楷体" w:hint="eastAsia"/>
          <w:bCs/>
          <w:sz w:val="32"/>
          <w:szCs w:val="32"/>
        </w:rPr>
        <w:t>（三）深入</w:t>
      </w:r>
      <w:r w:rsidRPr="00DF45DD">
        <w:rPr>
          <w:rFonts w:ascii="楷体" w:eastAsia="楷体" w:hAnsi="楷体" w:hint="eastAsia"/>
          <w:sz w:val="32"/>
          <w:szCs w:val="32"/>
        </w:rPr>
        <w:t>贯彻落实新《刑事诉讼法》，全面加强刑事法律援助工作</w:t>
      </w:r>
    </w:p>
    <w:p w:rsidR="00DF45DD" w:rsidRPr="00DF45DD" w:rsidRDefault="00DF45DD" w:rsidP="00534BBD">
      <w:pPr>
        <w:spacing w:line="600" w:lineRule="exact"/>
        <w:ind w:firstLineChars="200" w:firstLine="643"/>
        <w:rPr>
          <w:rFonts w:ascii="楷体_GB2312" w:eastAsia="楷体_GB2312" w:hAnsi="楷体_GB2312" w:cs="楷体"/>
          <w:b/>
          <w:bCs/>
          <w:sz w:val="32"/>
          <w:szCs w:val="32"/>
        </w:rPr>
      </w:pPr>
      <w:r w:rsidRPr="00DF45DD">
        <w:rPr>
          <w:rFonts w:ascii="仿宋" w:eastAsia="仿宋" w:hAnsi="仿宋" w:hint="eastAsia"/>
          <w:b/>
          <w:sz w:val="32"/>
          <w:szCs w:val="32"/>
        </w:rPr>
        <w:t>一是</w:t>
      </w:r>
      <w:r w:rsidRPr="00DF45DD">
        <w:rPr>
          <w:rFonts w:ascii="仿宋" w:eastAsia="仿宋" w:hAnsi="仿宋" w:hint="eastAsia"/>
          <w:sz w:val="32"/>
          <w:szCs w:val="32"/>
        </w:rPr>
        <w:t>顺应新《刑事诉讼法》的要求，区司法局和公安五华分局联合制定了《五华区办理刑事法律援助案件实施意见》，明确了侦查阶段刑事法律援助案件的办理流程及各部门相应</w:t>
      </w:r>
      <w:r w:rsidRPr="00DF45DD">
        <w:rPr>
          <w:rFonts w:ascii="仿宋" w:eastAsia="仿宋" w:hAnsi="仿宋" w:hint="eastAsia"/>
          <w:sz w:val="32"/>
          <w:szCs w:val="32"/>
        </w:rPr>
        <w:lastRenderedPageBreak/>
        <w:t>的职责，进一步加强和规范了刑事侦查阶段法律援助工作。2014年至2017年4月底，全区共办理侦查阶段法律援助案件96件，保障了犯罪嫌疑人的合法权利。</w:t>
      </w:r>
      <w:r w:rsidRPr="00DF45DD">
        <w:rPr>
          <w:rFonts w:ascii="仿宋" w:eastAsia="仿宋" w:hAnsi="仿宋" w:hint="eastAsia"/>
          <w:b/>
          <w:sz w:val="32"/>
          <w:szCs w:val="32"/>
        </w:rPr>
        <w:t>二是</w:t>
      </w:r>
      <w:r w:rsidRPr="00DF45DD">
        <w:rPr>
          <w:rFonts w:ascii="仿宋" w:eastAsia="仿宋" w:hAnsi="仿宋" w:hint="eastAsia"/>
          <w:sz w:val="32"/>
          <w:szCs w:val="32"/>
        </w:rPr>
        <w:t>成立五华区看守所法律援助工作站，并实行律师值班制度，由区司法局安排律师定时到工作站接待群众咨询。2015</w:t>
      </w:r>
      <w:r w:rsidR="00497D0D">
        <w:rPr>
          <w:rFonts w:ascii="仿宋" w:eastAsia="仿宋" w:hAnsi="仿宋" w:hint="eastAsia"/>
          <w:sz w:val="32"/>
          <w:szCs w:val="32"/>
        </w:rPr>
        <w:t>年，区法律援助中心</w:t>
      </w:r>
      <w:r w:rsidRPr="00DF45DD">
        <w:rPr>
          <w:rFonts w:ascii="仿宋" w:eastAsia="仿宋" w:hAnsi="仿宋" w:hint="eastAsia"/>
          <w:sz w:val="32"/>
          <w:szCs w:val="32"/>
        </w:rPr>
        <w:t>和区看守所联合为在押人员开展法律援助“导航讲坛”系列讲座，共计开展法律援助专题讲座17场，涉及监室17个，听众约370人。三</w:t>
      </w:r>
      <w:r w:rsidRPr="00DF45DD">
        <w:rPr>
          <w:rFonts w:ascii="仿宋" w:eastAsia="仿宋" w:hAnsi="仿宋" w:hint="eastAsia"/>
          <w:b/>
          <w:sz w:val="32"/>
          <w:szCs w:val="32"/>
        </w:rPr>
        <w:t>是</w:t>
      </w:r>
      <w:r w:rsidRPr="00DF45DD">
        <w:rPr>
          <w:rFonts w:ascii="仿宋" w:eastAsia="仿宋" w:hAnsi="仿宋" w:hint="eastAsia"/>
          <w:sz w:val="32"/>
          <w:szCs w:val="32"/>
        </w:rPr>
        <w:t>探索被羁押犯罪嫌疑人、被告人经济困难证明制度。按照看守所管理的相关规定，看守所除特殊情形外，不得与在押人员家属取得联系，为解决这一困境，区司法局尝试在押人员在填写申请时，注明家属联系方式，然后由区法律援助中心负责联系家属，并请家属按规定时限提供经济困难证明材料，尽最大努力维护犯罪嫌疑人的合法权益。</w:t>
      </w:r>
      <w:r w:rsidRPr="00DF45DD">
        <w:rPr>
          <w:rFonts w:ascii="仿宋" w:eastAsia="仿宋" w:hAnsi="仿宋" w:hint="eastAsia"/>
          <w:b/>
          <w:sz w:val="32"/>
          <w:szCs w:val="32"/>
        </w:rPr>
        <w:t>四是</w:t>
      </w:r>
      <w:r w:rsidRPr="00DF45DD">
        <w:rPr>
          <w:rFonts w:ascii="仿宋" w:eastAsia="仿宋" w:hAnsi="仿宋" w:hint="eastAsia"/>
          <w:sz w:val="32"/>
          <w:szCs w:val="32"/>
        </w:rPr>
        <w:t>加强未成年人、残疾人等重点人群的刑事法律援助工作。2015年至2017年4月底，全区共受理未成年人刑事案件502件，残疾人刑事案件29件。</w:t>
      </w:r>
    </w:p>
    <w:p w:rsidR="00DF45DD" w:rsidRPr="00DF45DD" w:rsidRDefault="00DF45DD" w:rsidP="00534BBD">
      <w:pPr>
        <w:spacing w:line="600" w:lineRule="exact"/>
        <w:ind w:firstLineChars="200" w:firstLine="640"/>
        <w:rPr>
          <w:rFonts w:ascii="楷体" w:eastAsia="楷体" w:hAnsi="楷体" w:cs="楷体"/>
          <w:bCs/>
          <w:sz w:val="32"/>
          <w:szCs w:val="32"/>
        </w:rPr>
      </w:pPr>
      <w:r w:rsidRPr="00DF45DD">
        <w:rPr>
          <w:rFonts w:ascii="楷体" w:eastAsia="楷体" w:hAnsi="楷体" w:cs="楷体" w:hint="eastAsia"/>
          <w:bCs/>
          <w:sz w:val="32"/>
          <w:szCs w:val="32"/>
        </w:rPr>
        <w:t>（四）创新开展法律援助宣传，提高法律援助的知晓率和社会影响力</w:t>
      </w:r>
    </w:p>
    <w:p w:rsidR="00DF45DD" w:rsidRPr="00DF45DD" w:rsidRDefault="00DF45DD" w:rsidP="00534BBD">
      <w:pPr>
        <w:adjustRightInd w:val="0"/>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近年来，五华区法律援助在保留传统宣传方式的基础上，创新开展法律援助专项宣传活动，利用多种渠道和形式宣传现行法律援助政策，不断扩大法律援助知晓率和社会影响力。近两年来，五华区先后开展了法律援助绿卡进低保户专项活动、法律援助进</w:t>
      </w:r>
      <w:r w:rsidRPr="00DF45DD">
        <w:rPr>
          <w:rFonts w:ascii="仿宋" w:eastAsia="仿宋" w:hAnsi="仿宋" w:hint="eastAsia"/>
          <w:spacing w:val="-6"/>
          <w:sz w:val="32"/>
          <w:szCs w:val="32"/>
        </w:rPr>
        <w:lastRenderedPageBreak/>
        <w:t>宗教活动场所、进少数民族聚居地专项宣传活动、“关爱未成年人”法律援助宣传周、“急诊式”农民工法律援助专项宣传活动等大型专项活动。同时，五华区司法局还开通五华区司法行政、五华区法律援助、五华普法等微信公众号，通过新媒体大力宣传法律援助。</w:t>
      </w:r>
    </w:p>
    <w:p w:rsidR="00DF45DD" w:rsidRPr="00DF45DD" w:rsidRDefault="00DF45DD" w:rsidP="00534BBD">
      <w:pPr>
        <w:adjustRightInd w:val="0"/>
        <w:spacing w:line="600" w:lineRule="exact"/>
        <w:ind w:firstLineChars="200" w:firstLine="616"/>
        <w:rPr>
          <w:rFonts w:ascii="楷体" w:eastAsia="楷体" w:hAnsi="楷体"/>
          <w:spacing w:val="-6"/>
          <w:sz w:val="32"/>
          <w:szCs w:val="32"/>
        </w:rPr>
      </w:pPr>
      <w:r w:rsidRPr="00DF45DD">
        <w:rPr>
          <w:rFonts w:ascii="楷体" w:eastAsia="楷体" w:hAnsi="楷体" w:hint="eastAsia"/>
          <w:spacing w:val="-6"/>
          <w:sz w:val="32"/>
          <w:szCs w:val="32"/>
        </w:rPr>
        <w:t>（五）规范法律援助服务行为，加强监管，提高法律援助服务质量和水平</w:t>
      </w:r>
    </w:p>
    <w:p w:rsidR="00DF45DD" w:rsidRPr="00DF45DD" w:rsidRDefault="00DF45DD" w:rsidP="00534BBD">
      <w:pPr>
        <w:adjustRightInd w:val="0"/>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五华区先后制定了《五华区法律援助案件规范管理办法》、《五华区法律援助案件办理规程》等相关规定，细化受理、审查、指派等服务流程，优化受理审查方式，合理指派符合资质条件的承办机构和人员承办案件，推行点援制，即让受援人自主选择承办律师。同时，五华区从加强法律援助队伍建设和加强监管两方面入手，持续提高法律援助案件质量。</w:t>
      </w:r>
      <w:r w:rsidRPr="00DF45DD">
        <w:rPr>
          <w:rFonts w:ascii="仿宋" w:eastAsia="仿宋" w:hAnsi="仿宋" w:hint="eastAsia"/>
          <w:b/>
          <w:spacing w:val="-6"/>
          <w:sz w:val="32"/>
          <w:szCs w:val="32"/>
        </w:rPr>
        <w:t>一是</w:t>
      </w:r>
      <w:r w:rsidRPr="00DF45DD">
        <w:rPr>
          <w:rFonts w:ascii="仿宋" w:eastAsia="仿宋" w:hAnsi="仿宋" w:hint="eastAsia"/>
          <w:spacing w:val="-6"/>
          <w:sz w:val="32"/>
          <w:szCs w:val="32"/>
        </w:rPr>
        <w:t>鼓励和引导律师、基层法律服务工作者积极履行法律援助义务，加大指派律师办理案件力度。同时教育和引导法律援助人员严格遵守法定程序和执业规范，提供符合标准的援助服务。</w:t>
      </w:r>
      <w:r w:rsidRPr="00DF45DD">
        <w:rPr>
          <w:rFonts w:ascii="仿宋" w:eastAsia="仿宋" w:hAnsi="仿宋" w:hint="eastAsia"/>
          <w:b/>
          <w:spacing w:val="-6"/>
          <w:sz w:val="32"/>
          <w:szCs w:val="32"/>
        </w:rPr>
        <w:t>二是</w:t>
      </w:r>
      <w:r w:rsidRPr="00DF45DD">
        <w:rPr>
          <w:rFonts w:ascii="仿宋" w:eastAsia="仿宋" w:hAnsi="仿宋" w:hint="eastAsia"/>
          <w:spacing w:val="-6"/>
          <w:sz w:val="32"/>
          <w:szCs w:val="32"/>
        </w:rPr>
        <w:t>完善法律援助案件质量评价、监督等机制，实行动态监控，强化全程监督，通过案卷档案抽查、庭审旁听等方式加大了对援助案件的监管力度。</w:t>
      </w:r>
    </w:p>
    <w:p w:rsidR="00DF45DD" w:rsidRPr="00DF45DD" w:rsidRDefault="00DF45DD" w:rsidP="00534BBD">
      <w:pPr>
        <w:adjustRightInd w:val="0"/>
        <w:spacing w:line="600" w:lineRule="exact"/>
        <w:ind w:firstLineChars="200" w:firstLine="616"/>
        <w:rPr>
          <w:rFonts w:ascii="黑体" w:eastAsia="黑体" w:hAnsi="黑体"/>
          <w:spacing w:val="-6"/>
          <w:sz w:val="32"/>
          <w:szCs w:val="32"/>
        </w:rPr>
      </w:pPr>
      <w:r w:rsidRPr="00DF45DD">
        <w:rPr>
          <w:rFonts w:ascii="黑体" w:eastAsia="黑体" w:hAnsi="黑体" w:hint="eastAsia"/>
          <w:spacing w:val="-6"/>
          <w:sz w:val="32"/>
          <w:szCs w:val="32"/>
        </w:rPr>
        <w:t>二、关于建立五华区法律援助中心接待场所的工作情况</w:t>
      </w:r>
    </w:p>
    <w:p w:rsidR="00DF45DD" w:rsidRPr="00DF45DD" w:rsidRDefault="00DF45DD" w:rsidP="00534BBD">
      <w:pPr>
        <w:adjustRightInd w:val="0"/>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因</w:t>
      </w:r>
      <w:r w:rsidR="00497D0D">
        <w:rPr>
          <w:rFonts w:ascii="仿宋" w:eastAsia="仿宋" w:hAnsi="仿宋" w:hint="eastAsia"/>
          <w:spacing w:val="-6"/>
          <w:sz w:val="32"/>
          <w:szCs w:val="32"/>
        </w:rPr>
        <w:t>受场地和经费限制，目前五华区尚未建成区法律援助中心接待大厅，但</w:t>
      </w:r>
      <w:bookmarkStart w:id="0" w:name="_GoBack"/>
      <w:bookmarkEnd w:id="0"/>
      <w:r w:rsidRPr="00DF45DD">
        <w:rPr>
          <w:rFonts w:ascii="仿宋" w:eastAsia="仿宋" w:hAnsi="仿宋" w:hint="eastAsia"/>
          <w:spacing w:val="-6"/>
          <w:sz w:val="32"/>
          <w:szCs w:val="32"/>
        </w:rPr>
        <w:t>2009年9月已在五华区残疾人便民服务中心成立五华区法律援助中心残疾人分中心，该分中心的设置严格按照临</w:t>
      </w:r>
      <w:r w:rsidRPr="00DF45DD">
        <w:rPr>
          <w:rFonts w:ascii="仿宋" w:eastAsia="仿宋" w:hAnsi="仿宋" w:hint="eastAsia"/>
          <w:spacing w:val="-6"/>
          <w:sz w:val="32"/>
          <w:szCs w:val="32"/>
        </w:rPr>
        <w:lastRenderedPageBreak/>
        <w:t>街、一层、无障碍的要求进行打造，为了方便残疾人办理法律援助，区司法局和区残联联合开展了以“援助网络无盲区、援助队伍无盲区、援助宣传无盲区、援助措施无盲区、援助设施无盲区”为主要内容的残疾人法律援助“五个服务无盲区”活动。5年多来，五华区共办理残疾人刑事案件共计63件，民事案件124件，解答来电咨询189余人次，解答来访咨询215余人次，真正为残疾人撑起了一把公平正义的保护伞。同时，五华区还将法律援助的触角延伸到村（小组），在厂口12个少数民族居民小组、沙朗陡坡社区司法行政工作室、吉兴苑居民小区、春城慧谷居民小区等建立法律援助联系点，方便群众在家门口就能获得法律援助服务。</w:t>
      </w:r>
    </w:p>
    <w:p w:rsidR="00DF45DD" w:rsidRPr="00DF45DD" w:rsidRDefault="00DF45DD" w:rsidP="00534BBD">
      <w:pPr>
        <w:adjustRightInd w:val="0"/>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2014年，司法部印发了《关于推进公共法律服务体系建设的意见》，《意见》要求,要不断健全公共法律服务网络,有效整合公共法律服务资源,大力拓展公共法律服务领域,不断提高公共法律服务能力和水平,加快建立健全符合国情、覆盖城乡、惠及全民的公共法律服务体系,不断满足人民群众基本法律服务需求。为贯彻落实司法部、省市司法行政部门关于打造公共法律服务实体平台的文件及会议精神，五华区将从筹建法律援助接待大厅转向建设公共法律服务实体平台上来。目前，区司法局已印发了《五华区司法局关于推进公共法律服务实体平台建设的实施方案》，并完成五华区普吉社区公共法律服务点、春城慧谷小区公共法律服务点的筹建。在今年年底之前，</w:t>
      </w:r>
      <w:r w:rsidR="00831D2C">
        <w:rPr>
          <w:rFonts w:ascii="仿宋" w:eastAsia="仿宋" w:hAnsi="仿宋" w:hint="eastAsia"/>
          <w:spacing w:val="-6"/>
          <w:sz w:val="32"/>
          <w:szCs w:val="32"/>
        </w:rPr>
        <w:t>区司法局将</w:t>
      </w:r>
      <w:r w:rsidRPr="00DF45DD">
        <w:rPr>
          <w:rFonts w:ascii="仿宋" w:eastAsia="仿宋" w:hAnsi="仿宋" w:hint="eastAsia"/>
          <w:spacing w:val="-6"/>
          <w:sz w:val="32"/>
          <w:szCs w:val="32"/>
        </w:rPr>
        <w:t>争取建成</w:t>
      </w:r>
      <w:r w:rsidR="00831D2C">
        <w:rPr>
          <w:rFonts w:ascii="仿宋" w:eastAsia="仿宋" w:hAnsi="仿宋" w:hint="eastAsia"/>
          <w:spacing w:val="-6"/>
          <w:sz w:val="32"/>
          <w:szCs w:val="32"/>
        </w:rPr>
        <w:t>五华</w:t>
      </w:r>
      <w:r w:rsidRPr="00DF45DD">
        <w:rPr>
          <w:rFonts w:ascii="仿宋" w:eastAsia="仿宋" w:hAnsi="仿宋" w:hint="eastAsia"/>
          <w:spacing w:val="-6"/>
          <w:sz w:val="32"/>
          <w:szCs w:val="32"/>
        </w:rPr>
        <w:t>区公</w:t>
      </w:r>
      <w:r w:rsidRPr="00DF45DD">
        <w:rPr>
          <w:rFonts w:ascii="仿宋" w:eastAsia="仿宋" w:hAnsi="仿宋" w:hint="eastAsia"/>
          <w:spacing w:val="-6"/>
          <w:sz w:val="32"/>
          <w:szCs w:val="32"/>
        </w:rPr>
        <w:lastRenderedPageBreak/>
        <w:t>共法律服务</w:t>
      </w:r>
      <w:r w:rsidR="00831D2C">
        <w:rPr>
          <w:rFonts w:ascii="仿宋" w:eastAsia="仿宋" w:hAnsi="仿宋" w:hint="eastAsia"/>
          <w:spacing w:val="-6"/>
          <w:sz w:val="32"/>
          <w:szCs w:val="32"/>
        </w:rPr>
        <w:t>中心和社区公共法律服务站1家</w:t>
      </w:r>
      <w:r w:rsidRPr="00DF45DD">
        <w:rPr>
          <w:rFonts w:ascii="仿宋" w:eastAsia="仿宋" w:hAnsi="仿宋" w:hint="eastAsia"/>
          <w:spacing w:val="-6"/>
          <w:sz w:val="32"/>
          <w:szCs w:val="32"/>
        </w:rPr>
        <w:t>。这些公共法律服务实体平台的打造，将整合和进驻包括法律援助、人民调解、公证、法治宣传等司法行政职能，面向基层、面向群众提供公益、专业、均等、便民的综合性、“一站式”服务。对实体平台的管理，区司法局将一如既往地执行接待大厅的管理制度，实行首问负责制、一次性告知制等相关工作制度，杜绝群众“多跑路”现象。</w:t>
      </w:r>
    </w:p>
    <w:p w:rsidR="00DF45DD" w:rsidRPr="006E25BA" w:rsidRDefault="00DF45DD" w:rsidP="00534BBD">
      <w:pPr>
        <w:adjustRightInd w:val="0"/>
        <w:spacing w:line="600" w:lineRule="exact"/>
        <w:ind w:firstLineChars="200" w:firstLine="616"/>
        <w:rPr>
          <w:rFonts w:ascii="仿宋" w:eastAsia="仿宋" w:hAnsi="仿宋"/>
          <w:spacing w:val="-6"/>
          <w:sz w:val="32"/>
          <w:szCs w:val="32"/>
        </w:rPr>
      </w:pPr>
      <w:r w:rsidRPr="00DF45DD">
        <w:rPr>
          <w:rFonts w:ascii="仿宋" w:eastAsia="仿宋" w:hAnsi="仿宋" w:hint="eastAsia"/>
          <w:spacing w:val="-6"/>
          <w:sz w:val="32"/>
          <w:szCs w:val="32"/>
        </w:rPr>
        <w:t>在积极打造实体平台的同时，五华区司法局还与北京律品科技有限公司合作，积极开发“五华区公共法律服务平台”线上APP。该APP包含了实体平台的所有职能，可以为关注这一APP的网民提供在线法律咨询、法律援助在线申请、普法宣传等各项司法行政职能，做到不出家门就能了解法律知识、申请法律援助等。同时，在建成的公共法律服务实体平台，区司法局还将投放若干五华区公共法律服务实体平台终端机，来访群众也可以在终端机上进行操作，大大方便了群众。</w:t>
      </w:r>
      <w:r w:rsidRPr="00DF45DD">
        <w:rPr>
          <w:rFonts w:ascii="仿宋_GB2312" w:eastAsia="仿宋_GB2312" w:hAnsi="黑体" w:hint="eastAsia"/>
          <w:bCs/>
          <w:spacing w:val="-6"/>
          <w:sz w:val="32"/>
          <w:szCs w:val="32"/>
        </w:rPr>
        <w:t>该项工作已在积极推进中，预计在今年下半年，五华区公共法律服务平台APP将如期完成，为五华区群众提供方便、快捷的公共法律服务。</w:t>
      </w:r>
    </w:p>
    <w:p w:rsidR="006E25BA" w:rsidRDefault="006E25BA" w:rsidP="00DF45DD">
      <w:pPr>
        <w:snapToGrid w:val="0"/>
        <w:spacing w:line="520" w:lineRule="exact"/>
        <w:ind w:firstLineChars="200" w:firstLine="640"/>
        <w:jc w:val="left"/>
        <w:rPr>
          <w:rFonts w:ascii="仿宋_GB2312" w:eastAsia="仿宋_GB2312"/>
          <w:sz w:val="32"/>
          <w:szCs w:val="20"/>
        </w:rPr>
      </w:pPr>
    </w:p>
    <w:p w:rsidR="006E25BA" w:rsidRDefault="006E25BA" w:rsidP="00DF45DD">
      <w:pPr>
        <w:snapToGrid w:val="0"/>
        <w:spacing w:line="520" w:lineRule="exact"/>
        <w:ind w:firstLineChars="200" w:firstLine="640"/>
        <w:jc w:val="left"/>
        <w:rPr>
          <w:rFonts w:ascii="仿宋_GB2312" w:eastAsia="仿宋_GB2312"/>
          <w:sz w:val="32"/>
          <w:szCs w:val="20"/>
        </w:rPr>
      </w:pPr>
    </w:p>
    <w:p w:rsidR="006E25BA" w:rsidRDefault="006E25BA" w:rsidP="00DF45DD">
      <w:pPr>
        <w:snapToGrid w:val="0"/>
        <w:spacing w:line="520" w:lineRule="exact"/>
        <w:ind w:firstLineChars="200" w:firstLine="640"/>
        <w:jc w:val="left"/>
        <w:rPr>
          <w:rFonts w:ascii="仿宋_GB2312" w:eastAsia="仿宋_GB2312"/>
          <w:sz w:val="32"/>
          <w:szCs w:val="20"/>
        </w:rPr>
      </w:pPr>
    </w:p>
    <w:p w:rsidR="00DF45DD" w:rsidRPr="00DF45DD" w:rsidRDefault="00DF45DD" w:rsidP="00DF45DD">
      <w:pPr>
        <w:snapToGrid w:val="0"/>
        <w:spacing w:line="520" w:lineRule="exact"/>
        <w:ind w:firstLineChars="200" w:firstLine="640"/>
        <w:jc w:val="left"/>
        <w:rPr>
          <w:rFonts w:ascii="仿宋_GB2312" w:eastAsia="仿宋_GB2312"/>
          <w:sz w:val="32"/>
          <w:szCs w:val="20"/>
        </w:rPr>
      </w:pPr>
      <w:r w:rsidRPr="00DF45DD">
        <w:rPr>
          <w:rFonts w:ascii="仿宋_GB2312" w:eastAsia="仿宋_GB2312" w:hint="eastAsia"/>
          <w:sz w:val="32"/>
          <w:szCs w:val="20"/>
        </w:rPr>
        <w:t>联系人及电话：李娅妮  63626185</w:t>
      </w:r>
    </w:p>
    <w:p w:rsidR="00DF45DD" w:rsidRDefault="00DF45DD" w:rsidP="00DF45DD">
      <w:pPr>
        <w:snapToGrid w:val="0"/>
        <w:spacing w:line="520" w:lineRule="exact"/>
        <w:ind w:firstLineChars="2050" w:firstLine="6560"/>
        <w:jc w:val="left"/>
        <w:rPr>
          <w:rFonts w:ascii="仿宋_GB2312" w:eastAsia="仿宋_GB2312"/>
          <w:sz w:val="32"/>
          <w:szCs w:val="20"/>
        </w:rPr>
      </w:pPr>
    </w:p>
    <w:p w:rsidR="006E25BA" w:rsidRPr="006E25BA" w:rsidRDefault="006E25BA" w:rsidP="00DF45DD">
      <w:pPr>
        <w:snapToGrid w:val="0"/>
        <w:spacing w:line="520" w:lineRule="exact"/>
        <w:ind w:firstLineChars="2050" w:firstLine="6560"/>
        <w:jc w:val="left"/>
        <w:rPr>
          <w:rFonts w:ascii="仿宋_GB2312" w:eastAsia="仿宋_GB2312"/>
          <w:sz w:val="32"/>
          <w:szCs w:val="20"/>
        </w:rPr>
      </w:pPr>
    </w:p>
    <w:p w:rsidR="00DF45DD" w:rsidRPr="00DF45DD" w:rsidRDefault="00390AB5" w:rsidP="00390AB5">
      <w:pPr>
        <w:snapToGrid w:val="0"/>
        <w:spacing w:line="520" w:lineRule="exact"/>
        <w:ind w:firstLineChars="1600" w:firstLine="5120"/>
        <w:jc w:val="left"/>
        <w:rPr>
          <w:rFonts w:ascii="仿宋_GB2312" w:eastAsia="仿宋_GB2312"/>
          <w:sz w:val="32"/>
          <w:szCs w:val="20"/>
        </w:rPr>
      </w:pPr>
      <w:r>
        <w:rPr>
          <w:rFonts w:ascii="仿宋_GB2312" w:eastAsia="仿宋_GB2312" w:hint="eastAsia"/>
          <w:sz w:val="32"/>
          <w:szCs w:val="20"/>
        </w:rPr>
        <w:t>五华区司法局</w:t>
      </w:r>
      <w:r w:rsidR="00DF45DD" w:rsidRPr="00DF45DD">
        <w:rPr>
          <w:rFonts w:ascii="仿宋_GB2312" w:eastAsia="仿宋_GB2312" w:hint="eastAsia"/>
          <w:sz w:val="32"/>
          <w:szCs w:val="20"/>
        </w:rPr>
        <w:t>（印章）</w:t>
      </w:r>
    </w:p>
    <w:p w:rsidR="00DF45DD" w:rsidRDefault="00390AB5" w:rsidP="00390AB5">
      <w:pPr>
        <w:snapToGrid w:val="0"/>
        <w:spacing w:line="520" w:lineRule="exact"/>
        <w:ind w:firstLineChars="1600" w:firstLine="5120"/>
        <w:jc w:val="left"/>
        <w:rPr>
          <w:rFonts w:ascii="仿宋_GB2312" w:eastAsia="仿宋_GB2312"/>
          <w:sz w:val="32"/>
          <w:szCs w:val="20"/>
        </w:rPr>
      </w:pPr>
      <w:r>
        <w:rPr>
          <w:rFonts w:ascii="仿宋_GB2312" w:eastAsia="仿宋_GB2312" w:hint="eastAsia"/>
          <w:sz w:val="32"/>
          <w:szCs w:val="20"/>
        </w:rPr>
        <w:t>2017</w:t>
      </w:r>
      <w:r w:rsidR="00DF45DD" w:rsidRPr="00DF45DD">
        <w:rPr>
          <w:rFonts w:ascii="仿宋_GB2312" w:eastAsia="仿宋_GB2312" w:hint="eastAsia"/>
          <w:sz w:val="32"/>
          <w:szCs w:val="20"/>
        </w:rPr>
        <w:t xml:space="preserve">年 </w:t>
      </w:r>
      <w:r>
        <w:rPr>
          <w:rFonts w:ascii="仿宋_GB2312" w:eastAsia="仿宋_GB2312" w:hint="eastAsia"/>
          <w:sz w:val="32"/>
          <w:szCs w:val="20"/>
        </w:rPr>
        <w:t>6</w:t>
      </w:r>
      <w:r w:rsidR="00DF45DD" w:rsidRPr="00DF45DD">
        <w:rPr>
          <w:rFonts w:ascii="仿宋_GB2312" w:eastAsia="仿宋_GB2312" w:hint="eastAsia"/>
          <w:sz w:val="32"/>
          <w:szCs w:val="20"/>
        </w:rPr>
        <w:t>月</w:t>
      </w:r>
      <w:r>
        <w:rPr>
          <w:rFonts w:ascii="仿宋_GB2312" w:eastAsia="仿宋_GB2312" w:hint="eastAsia"/>
          <w:sz w:val="32"/>
          <w:szCs w:val="20"/>
        </w:rPr>
        <w:t>8</w:t>
      </w:r>
      <w:r w:rsidR="00DF45DD" w:rsidRPr="00DF45DD">
        <w:rPr>
          <w:rFonts w:ascii="仿宋_GB2312" w:eastAsia="仿宋_GB2312" w:hint="eastAsia"/>
          <w:sz w:val="32"/>
          <w:szCs w:val="20"/>
        </w:rPr>
        <w:t>日</w:t>
      </w: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仿宋_GB2312" w:eastAsia="仿宋_GB2312"/>
          <w:sz w:val="32"/>
          <w:szCs w:val="20"/>
        </w:rPr>
      </w:pPr>
    </w:p>
    <w:p w:rsidR="00390AB5" w:rsidRDefault="00390AB5" w:rsidP="00DF45DD">
      <w:pPr>
        <w:snapToGrid w:val="0"/>
        <w:spacing w:line="520" w:lineRule="exact"/>
        <w:ind w:firstLineChars="1900" w:firstLine="6080"/>
        <w:jc w:val="left"/>
        <w:rPr>
          <w:rFonts w:ascii="黑体" w:eastAsia="黑体"/>
          <w:sz w:val="32"/>
          <w:szCs w:val="20"/>
        </w:rPr>
      </w:pPr>
    </w:p>
    <w:p w:rsidR="00390AB5" w:rsidRDefault="00390AB5" w:rsidP="00DF45DD">
      <w:pPr>
        <w:snapToGrid w:val="0"/>
        <w:spacing w:line="520" w:lineRule="exact"/>
        <w:ind w:firstLineChars="1900" w:firstLine="6080"/>
        <w:jc w:val="left"/>
        <w:rPr>
          <w:rFonts w:ascii="黑体" w:eastAsia="黑体"/>
          <w:sz w:val="32"/>
          <w:szCs w:val="20"/>
        </w:rPr>
      </w:pPr>
    </w:p>
    <w:p w:rsidR="00390AB5" w:rsidRDefault="00390AB5" w:rsidP="00DF45DD">
      <w:pPr>
        <w:snapToGrid w:val="0"/>
        <w:spacing w:line="520" w:lineRule="exact"/>
        <w:ind w:firstLineChars="1900" w:firstLine="6080"/>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6E25BA" w:rsidRDefault="006E25BA" w:rsidP="00DF45DD">
      <w:pPr>
        <w:snapToGrid w:val="0"/>
        <w:spacing w:line="240" w:lineRule="atLeast"/>
        <w:jc w:val="left"/>
        <w:rPr>
          <w:rFonts w:ascii="黑体" w:eastAsia="黑体"/>
          <w:sz w:val="32"/>
          <w:szCs w:val="20"/>
        </w:rPr>
      </w:pPr>
    </w:p>
    <w:p w:rsidR="00534BBD" w:rsidRPr="00DF45DD" w:rsidRDefault="00534BBD" w:rsidP="00DF45DD">
      <w:pPr>
        <w:snapToGrid w:val="0"/>
        <w:spacing w:line="240" w:lineRule="atLeast"/>
        <w:jc w:val="left"/>
        <w:rPr>
          <w:rFonts w:ascii="黑体" w:eastAsia="黑体"/>
          <w:sz w:val="32"/>
          <w:szCs w:val="20"/>
        </w:rPr>
      </w:pPr>
    </w:p>
    <w:p w:rsidR="00DF45DD" w:rsidRPr="00DF45DD" w:rsidRDefault="00DF45DD" w:rsidP="00DF45DD">
      <w:pPr>
        <w:snapToGrid w:val="0"/>
        <w:spacing w:line="240" w:lineRule="atLeast"/>
        <w:jc w:val="left"/>
        <w:rPr>
          <w:szCs w:val="20"/>
        </w:rPr>
      </w:pPr>
      <w:r w:rsidRPr="00DF45DD">
        <w:rPr>
          <w:rFonts w:hint="eastAsia"/>
          <w:szCs w:val="20"/>
        </w:rPr>
        <w:t>━━━━━━━━━━━━━━━━━━━━━━━━━━━━━━━━━━━━━━━━━</w:t>
      </w:r>
    </w:p>
    <w:p w:rsidR="00DF45DD" w:rsidRPr="00DF45DD" w:rsidRDefault="00DF45DD" w:rsidP="00DF45DD">
      <w:pPr>
        <w:snapToGrid w:val="0"/>
        <w:spacing w:line="240" w:lineRule="atLeast"/>
        <w:ind w:firstLineChars="100" w:firstLine="300"/>
        <w:jc w:val="left"/>
        <w:rPr>
          <w:rFonts w:ascii="仿宋_GB2312" w:eastAsia="仿宋_GB2312"/>
          <w:sz w:val="30"/>
          <w:szCs w:val="30"/>
        </w:rPr>
      </w:pPr>
      <w:r w:rsidRPr="00DF45DD">
        <w:rPr>
          <w:rFonts w:ascii="仿宋_GB2312" w:eastAsia="仿宋_GB2312" w:hint="eastAsia"/>
          <w:sz w:val="30"/>
          <w:szCs w:val="30"/>
        </w:rPr>
        <w:t>抄送：区政协提案委，区委目督办</w:t>
      </w:r>
    </w:p>
    <w:p w:rsidR="00DF45DD" w:rsidRPr="00DF45DD" w:rsidRDefault="00DF45DD" w:rsidP="00DF45DD">
      <w:pPr>
        <w:snapToGrid w:val="0"/>
        <w:spacing w:line="240" w:lineRule="atLeast"/>
        <w:jc w:val="left"/>
        <w:rPr>
          <w:szCs w:val="20"/>
        </w:rPr>
      </w:pPr>
      <w:r w:rsidRPr="00DF45DD">
        <w:rPr>
          <w:rFonts w:hint="eastAsia"/>
          <w:szCs w:val="20"/>
        </w:rPr>
        <w:t>━━━━━━━━━━━━━━━━━━━━━━━━━━━━━━━━━━━━━━━━━</w:t>
      </w:r>
    </w:p>
    <w:p w:rsidR="00390AB5" w:rsidRPr="006E25BA" w:rsidRDefault="00DF45DD" w:rsidP="006E25BA">
      <w:pPr>
        <w:rPr>
          <w:rFonts w:asciiTheme="minorHAnsi" w:eastAsiaTheme="minorEastAsia" w:hAnsiTheme="minorHAnsi" w:cstheme="minorBidi"/>
          <w:szCs w:val="22"/>
        </w:rPr>
      </w:pPr>
      <w:r w:rsidRPr="00DF45DD">
        <w:rPr>
          <w:rFonts w:ascii="仿宋_GB2312" w:eastAsia="仿宋_GB2312"/>
          <w:sz w:val="32"/>
          <w:szCs w:val="32"/>
        </w:rPr>
        <w:t>注：在右上角</w:t>
      </w:r>
      <w:r w:rsidRPr="00DF45DD">
        <w:rPr>
          <w:rFonts w:ascii="仿宋_GB2312" w:eastAsia="仿宋_GB2312"/>
          <w:sz w:val="32"/>
          <w:szCs w:val="32"/>
        </w:rPr>
        <w:t>“</w:t>
      </w:r>
      <w:r w:rsidRPr="00DF45DD">
        <w:rPr>
          <w:rFonts w:ascii="宋体" w:eastAsia="仿宋_GB2312" w:hAnsi="宋体" w:cs="宋体" w:hint="eastAsia"/>
          <w:sz w:val="32"/>
          <w:szCs w:val="32"/>
        </w:rPr>
        <w:t>△</w:t>
      </w:r>
      <w:r w:rsidRPr="00DF45DD">
        <w:rPr>
          <w:rFonts w:ascii="仿宋_GB2312" w:eastAsia="仿宋_GB2312"/>
          <w:sz w:val="32"/>
          <w:szCs w:val="32"/>
        </w:rPr>
        <w:t>”</w:t>
      </w:r>
      <w:r w:rsidRPr="00DF45DD">
        <w:rPr>
          <w:rFonts w:ascii="仿宋_GB2312" w:eastAsia="仿宋_GB2312"/>
          <w:sz w:val="32"/>
          <w:szCs w:val="32"/>
        </w:rPr>
        <w:t>处标明办理结果，即</w:t>
      </w:r>
      <w:r w:rsidRPr="00DF45DD">
        <w:rPr>
          <w:rFonts w:ascii="仿宋_GB2312" w:eastAsia="仿宋_GB2312"/>
          <w:sz w:val="32"/>
          <w:szCs w:val="32"/>
        </w:rPr>
        <w:t>“</w:t>
      </w:r>
      <w:r w:rsidRPr="00DF45DD">
        <w:rPr>
          <w:rFonts w:ascii="仿宋_GB2312" w:eastAsia="仿宋_GB2312"/>
          <w:sz w:val="32"/>
          <w:szCs w:val="32"/>
        </w:rPr>
        <w:t>A</w:t>
      </w:r>
      <w:r w:rsidRPr="00DF45DD">
        <w:rPr>
          <w:rFonts w:ascii="仿宋_GB2312" w:eastAsia="仿宋_GB2312"/>
          <w:sz w:val="32"/>
          <w:szCs w:val="32"/>
        </w:rPr>
        <w:t>”</w:t>
      </w:r>
      <w:r w:rsidRPr="00DF45DD">
        <w:rPr>
          <w:rFonts w:ascii="仿宋_GB2312" w:eastAsia="仿宋_GB2312"/>
          <w:sz w:val="32"/>
          <w:szCs w:val="32"/>
        </w:rPr>
        <w:t>、</w:t>
      </w:r>
      <w:r w:rsidRPr="00DF45DD">
        <w:rPr>
          <w:rFonts w:ascii="仿宋_GB2312" w:eastAsia="仿宋_GB2312"/>
          <w:sz w:val="32"/>
          <w:szCs w:val="32"/>
        </w:rPr>
        <w:t>“</w:t>
      </w:r>
      <w:r w:rsidRPr="00DF45DD">
        <w:rPr>
          <w:rFonts w:ascii="仿宋_GB2312" w:eastAsia="仿宋_GB2312"/>
          <w:sz w:val="32"/>
          <w:szCs w:val="32"/>
        </w:rPr>
        <w:t>B</w:t>
      </w:r>
      <w:r w:rsidRPr="00DF45DD">
        <w:rPr>
          <w:rFonts w:ascii="仿宋_GB2312" w:eastAsia="仿宋_GB2312"/>
          <w:sz w:val="32"/>
          <w:szCs w:val="32"/>
        </w:rPr>
        <w:t>”</w:t>
      </w:r>
      <w:r w:rsidRPr="00DF45DD">
        <w:rPr>
          <w:rFonts w:ascii="仿宋_GB2312" w:eastAsia="仿宋_GB2312"/>
          <w:sz w:val="32"/>
          <w:szCs w:val="32"/>
        </w:rPr>
        <w:t>、</w:t>
      </w:r>
      <w:r w:rsidRPr="00DF45DD">
        <w:rPr>
          <w:rFonts w:ascii="仿宋_GB2312" w:eastAsia="仿宋_GB2312"/>
          <w:sz w:val="32"/>
          <w:szCs w:val="32"/>
        </w:rPr>
        <w:t>“</w:t>
      </w:r>
      <w:r w:rsidRPr="00DF45DD">
        <w:rPr>
          <w:rFonts w:ascii="仿宋_GB2312" w:eastAsia="仿宋_GB2312"/>
          <w:sz w:val="32"/>
          <w:szCs w:val="32"/>
        </w:rPr>
        <w:t xml:space="preserve">C </w:t>
      </w:r>
      <w:r w:rsidRPr="00DF45DD">
        <w:rPr>
          <w:rFonts w:ascii="仿宋_GB2312" w:eastAsia="仿宋_GB2312"/>
          <w:sz w:val="32"/>
          <w:szCs w:val="32"/>
        </w:rPr>
        <w:t>”</w:t>
      </w:r>
    </w:p>
    <w:sectPr w:rsidR="00390AB5" w:rsidRPr="006E25BA" w:rsidSect="00D149C3">
      <w:footerReference w:type="even" r:id="rId6"/>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073" w:rsidRDefault="00FD3073" w:rsidP="006A30BD">
      <w:r>
        <w:separator/>
      </w:r>
    </w:p>
  </w:endnote>
  <w:endnote w:type="continuationSeparator" w:id="1">
    <w:p w:rsidR="00FD3073" w:rsidRDefault="00FD3073" w:rsidP="006A30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763001"/>
      <w:docPartObj>
        <w:docPartGallery w:val="Page Numbers (Bottom of Page)"/>
        <w:docPartUnique/>
      </w:docPartObj>
    </w:sdtPr>
    <w:sdtEndPr>
      <w:rPr>
        <w:rFonts w:ascii="宋体" w:hAnsi="宋体"/>
        <w:sz w:val="32"/>
        <w:szCs w:val="32"/>
      </w:rPr>
    </w:sdtEndPr>
    <w:sdtContent>
      <w:p w:rsidR="006A30BD" w:rsidRPr="006A30BD" w:rsidRDefault="006A30BD">
        <w:pPr>
          <w:pStyle w:val="a6"/>
          <w:rPr>
            <w:rFonts w:ascii="宋体" w:hAnsi="宋体"/>
            <w:sz w:val="32"/>
            <w:szCs w:val="32"/>
          </w:rPr>
        </w:pPr>
        <w:r w:rsidRPr="006A30BD">
          <w:rPr>
            <w:rFonts w:ascii="宋体" w:hAnsi="宋体" w:hint="eastAsia"/>
            <w:sz w:val="32"/>
            <w:szCs w:val="32"/>
          </w:rPr>
          <w:t>-</w:t>
        </w:r>
        <w:r w:rsidR="005E4D04" w:rsidRPr="006A30BD">
          <w:rPr>
            <w:rFonts w:ascii="宋体" w:hAnsi="宋体"/>
            <w:sz w:val="32"/>
            <w:szCs w:val="32"/>
          </w:rPr>
          <w:fldChar w:fldCharType="begin"/>
        </w:r>
        <w:r w:rsidRPr="006A30BD">
          <w:rPr>
            <w:rFonts w:ascii="宋体" w:hAnsi="宋体"/>
            <w:sz w:val="32"/>
            <w:szCs w:val="32"/>
          </w:rPr>
          <w:instrText>PAGE   \* MERGEFORMAT</w:instrText>
        </w:r>
        <w:r w:rsidR="005E4D04" w:rsidRPr="006A30BD">
          <w:rPr>
            <w:rFonts w:ascii="宋体" w:hAnsi="宋体"/>
            <w:sz w:val="32"/>
            <w:szCs w:val="32"/>
          </w:rPr>
          <w:fldChar w:fldCharType="separate"/>
        </w:r>
        <w:r w:rsidR="00E17D5C" w:rsidRPr="00E17D5C">
          <w:rPr>
            <w:rFonts w:ascii="宋体" w:hAnsi="宋体"/>
            <w:noProof/>
            <w:sz w:val="32"/>
            <w:szCs w:val="32"/>
            <w:lang w:val="zh-CN"/>
          </w:rPr>
          <w:t>8</w:t>
        </w:r>
        <w:r w:rsidR="005E4D04" w:rsidRPr="006A30BD">
          <w:rPr>
            <w:rFonts w:ascii="宋体" w:hAnsi="宋体"/>
            <w:sz w:val="32"/>
            <w:szCs w:val="32"/>
          </w:rPr>
          <w:fldChar w:fldCharType="end"/>
        </w:r>
        <w:r w:rsidRPr="006A30BD">
          <w:rPr>
            <w:rFonts w:ascii="宋体" w:hAnsi="宋体" w:hint="eastAsia"/>
            <w:sz w:val="32"/>
            <w:szCs w:val="32"/>
          </w:rPr>
          <w:t>-</w:t>
        </w:r>
      </w:p>
    </w:sdtContent>
  </w:sdt>
  <w:p w:rsidR="006A30BD" w:rsidRDefault="006A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814540"/>
      <w:docPartObj>
        <w:docPartGallery w:val="Page Numbers (Bottom of Page)"/>
        <w:docPartUnique/>
      </w:docPartObj>
    </w:sdtPr>
    <w:sdtEndPr>
      <w:rPr>
        <w:rFonts w:ascii="宋体" w:hAnsi="宋体"/>
        <w:sz w:val="32"/>
        <w:szCs w:val="32"/>
      </w:rPr>
    </w:sdtEndPr>
    <w:sdtContent>
      <w:p w:rsidR="006A30BD" w:rsidRPr="006A30BD" w:rsidRDefault="006A30BD">
        <w:pPr>
          <w:pStyle w:val="a6"/>
          <w:jc w:val="right"/>
          <w:rPr>
            <w:rFonts w:ascii="宋体" w:hAnsi="宋体"/>
            <w:sz w:val="32"/>
            <w:szCs w:val="32"/>
          </w:rPr>
        </w:pPr>
        <w:r w:rsidRPr="006A30BD">
          <w:rPr>
            <w:rFonts w:ascii="宋体" w:hAnsi="宋体" w:hint="eastAsia"/>
            <w:sz w:val="32"/>
            <w:szCs w:val="32"/>
          </w:rPr>
          <w:t>-</w:t>
        </w:r>
        <w:r w:rsidR="005E4D04" w:rsidRPr="006A30BD">
          <w:rPr>
            <w:rFonts w:ascii="宋体" w:hAnsi="宋体"/>
            <w:sz w:val="32"/>
            <w:szCs w:val="32"/>
          </w:rPr>
          <w:fldChar w:fldCharType="begin"/>
        </w:r>
        <w:r w:rsidRPr="006A30BD">
          <w:rPr>
            <w:rFonts w:ascii="宋体" w:hAnsi="宋体"/>
            <w:sz w:val="32"/>
            <w:szCs w:val="32"/>
          </w:rPr>
          <w:instrText>PAGE   \* MERGEFORMAT</w:instrText>
        </w:r>
        <w:r w:rsidR="005E4D04" w:rsidRPr="006A30BD">
          <w:rPr>
            <w:rFonts w:ascii="宋体" w:hAnsi="宋体"/>
            <w:sz w:val="32"/>
            <w:szCs w:val="32"/>
          </w:rPr>
          <w:fldChar w:fldCharType="separate"/>
        </w:r>
        <w:r w:rsidR="00E17D5C" w:rsidRPr="00E17D5C">
          <w:rPr>
            <w:rFonts w:ascii="宋体" w:hAnsi="宋体"/>
            <w:noProof/>
            <w:sz w:val="32"/>
            <w:szCs w:val="32"/>
            <w:lang w:val="zh-CN"/>
          </w:rPr>
          <w:t>1</w:t>
        </w:r>
        <w:r w:rsidR="005E4D04" w:rsidRPr="006A30BD">
          <w:rPr>
            <w:rFonts w:ascii="宋体" w:hAnsi="宋体"/>
            <w:sz w:val="32"/>
            <w:szCs w:val="32"/>
          </w:rPr>
          <w:fldChar w:fldCharType="end"/>
        </w:r>
        <w:r w:rsidRPr="006A30BD">
          <w:rPr>
            <w:rFonts w:ascii="宋体" w:hAnsi="宋体" w:hint="eastAsia"/>
            <w:sz w:val="32"/>
            <w:szCs w:val="32"/>
          </w:rPr>
          <w:t>-</w:t>
        </w:r>
      </w:p>
    </w:sdtContent>
  </w:sdt>
  <w:p w:rsidR="006A30BD" w:rsidRDefault="006A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073" w:rsidRDefault="00FD3073" w:rsidP="006A30BD">
      <w:r>
        <w:separator/>
      </w:r>
    </w:p>
  </w:footnote>
  <w:footnote w:type="continuationSeparator" w:id="1">
    <w:p w:rsidR="00FD3073" w:rsidRDefault="00FD3073" w:rsidP="006A3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30BD"/>
    <w:rsid w:val="00045479"/>
    <w:rsid w:val="000A6B64"/>
    <w:rsid w:val="000F2BA3"/>
    <w:rsid w:val="0014163F"/>
    <w:rsid w:val="00152744"/>
    <w:rsid w:val="00161EA6"/>
    <w:rsid w:val="00174D97"/>
    <w:rsid w:val="001A5100"/>
    <w:rsid w:val="001B2AC9"/>
    <w:rsid w:val="0033051E"/>
    <w:rsid w:val="00390AB5"/>
    <w:rsid w:val="00497D0D"/>
    <w:rsid w:val="00517925"/>
    <w:rsid w:val="00534BBD"/>
    <w:rsid w:val="005C6B13"/>
    <w:rsid w:val="005E4D04"/>
    <w:rsid w:val="006823D5"/>
    <w:rsid w:val="006A30BD"/>
    <w:rsid w:val="006E25BA"/>
    <w:rsid w:val="007B5783"/>
    <w:rsid w:val="00831D2C"/>
    <w:rsid w:val="0093329B"/>
    <w:rsid w:val="00933B2A"/>
    <w:rsid w:val="00947378"/>
    <w:rsid w:val="00993365"/>
    <w:rsid w:val="009E7987"/>
    <w:rsid w:val="00A03551"/>
    <w:rsid w:val="00A03AD5"/>
    <w:rsid w:val="00A439B8"/>
    <w:rsid w:val="00A43E5C"/>
    <w:rsid w:val="00BB2C70"/>
    <w:rsid w:val="00C2765B"/>
    <w:rsid w:val="00CC3FDB"/>
    <w:rsid w:val="00D04232"/>
    <w:rsid w:val="00D149C3"/>
    <w:rsid w:val="00D21DCC"/>
    <w:rsid w:val="00D61FD8"/>
    <w:rsid w:val="00DC00FF"/>
    <w:rsid w:val="00DF2E9C"/>
    <w:rsid w:val="00DF45DD"/>
    <w:rsid w:val="00E17D5C"/>
    <w:rsid w:val="00E257A2"/>
    <w:rsid w:val="00F31944"/>
    <w:rsid w:val="00F93853"/>
    <w:rsid w:val="00FD3073"/>
    <w:rsid w:val="00FE3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30BD"/>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Char"/>
    <w:rsid w:val="006A30BD"/>
    <w:pPr>
      <w:ind w:firstLine="645"/>
    </w:pPr>
    <w:rPr>
      <w:rFonts w:eastAsia="仿宋_GB2312"/>
      <w:sz w:val="32"/>
      <w:szCs w:val="24"/>
    </w:rPr>
  </w:style>
  <w:style w:type="character" w:customStyle="1" w:styleId="Char">
    <w:name w:val="正文文本缩进 Char"/>
    <w:basedOn w:val="a0"/>
    <w:link w:val="a4"/>
    <w:rsid w:val="006A30BD"/>
    <w:rPr>
      <w:rFonts w:ascii="Times New Roman" w:eastAsia="仿宋_GB2312" w:hAnsi="Times New Roman" w:cs="Times New Roman"/>
      <w:sz w:val="32"/>
      <w:szCs w:val="24"/>
    </w:rPr>
  </w:style>
  <w:style w:type="paragraph" w:styleId="a5">
    <w:name w:val="header"/>
    <w:basedOn w:val="a"/>
    <w:link w:val="Char0"/>
    <w:uiPriority w:val="99"/>
    <w:unhideWhenUsed/>
    <w:rsid w:val="006A30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A30BD"/>
    <w:rPr>
      <w:rFonts w:ascii="Times New Roman" w:eastAsia="宋体" w:hAnsi="Times New Roman" w:cs="Times New Roman"/>
      <w:sz w:val="18"/>
      <w:szCs w:val="18"/>
    </w:rPr>
  </w:style>
  <w:style w:type="paragraph" w:styleId="a6">
    <w:name w:val="footer"/>
    <w:basedOn w:val="a"/>
    <w:link w:val="Char1"/>
    <w:uiPriority w:val="99"/>
    <w:unhideWhenUsed/>
    <w:rsid w:val="006A30BD"/>
    <w:pPr>
      <w:tabs>
        <w:tab w:val="center" w:pos="4153"/>
        <w:tab w:val="right" w:pos="8306"/>
      </w:tabs>
      <w:snapToGrid w:val="0"/>
      <w:jc w:val="left"/>
    </w:pPr>
    <w:rPr>
      <w:sz w:val="18"/>
      <w:szCs w:val="18"/>
    </w:rPr>
  </w:style>
  <w:style w:type="character" w:customStyle="1" w:styleId="Char1">
    <w:name w:val="页脚 Char"/>
    <w:basedOn w:val="a0"/>
    <w:link w:val="a6"/>
    <w:uiPriority w:val="99"/>
    <w:rsid w:val="006A30BD"/>
    <w:rPr>
      <w:rFonts w:ascii="Times New Roman" w:eastAsia="宋体" w:hAnsi="Times New Roman" w:cs="Times New Roman"/>
      <w:sz w:val="18"/>
      <w:szCs w:val="18"/>
    </w:rPr>
  </w:style>
  <w:style w:type="paragraph" w:customStyle="1" w:styleId="p0">
    <w:name w:val="p0"/>
    <w:basedOn w:val="a"/>
    <w:rsid w:val="006823D5"/>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2"/>
    <w:uiPriority w:val="99"/>
    <w:semiHidden/>
    <w:unhideWhenUsed/>
    <w:rsid w:val="006823D5"/>
    <w:rPr>
      <w:sz w:val="18"/>
      <w:szCs w:val="18"/>
    </w:rPr>
  </w:style>
  <w:style w:type="character" w:customStyle="1" w:styleId="Char2">
    <w:name w:val="批注框文本 Char"/>
    <w:basedOn w:val="a0"/>
    <w:link w:val="a7"/>
    <w:uiPriority w:val="99"/>
    <w:semiHidden/>
    <w:rsid w:val="006823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30BD"/>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Char"/>
    <w:rsid w:val="006A30BD"/>
    <w:pPr>
      <w:ind w:firstLine="645"/>
    </w:pPr>
    <w:rPr>
      <w:rFonts w:eastAsia="仿宋_GB2312"/>
      <w:sz w:val="32"/>
      <w:szCs w:val="24"/>
    </w:rPr>
  </w:style>
  <w:style w:type="character" w:customStyle="1" w:styleId="Char">
    <w:name w:val="正文文本缩进 Char"/>
    <w:basedOn w:val="a0"/>
    <w:link w:val="a4"/>
    <w:rsid w:val="006A30BD"/>
    <w:rPr>
      <w:rFonts w:ascii="Times New Roman" w:eastAsia="仿宋_GB2312" w:hAnsi="Times New Roman" w:cs="Times New Roman"/>
      <w:sz w:val="32"/>
      <w:szCs w:val="24"/>
    </w:rPr>
  </w:style>
  <w:style w:type="paragraph" w:styleId="a5">
    <w:name w:val="header"/>
    <w:basedOn w:val="a"/>
    <w:link w:val="Char0"/>
    <w:uiPriority w:val="99"/>
    <w:unhideWhenUsed/>
    <w:rsid w:val="006A30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A30BD"/>
    <w:rPr>
      <w:rFonts w:ascii="Times New Roman" w:eastAsia="宋体" w:hAnsi="Times New Roman" w:cs="Times New Roman"/>
      <w:sz w:val="18"/>
      <w:szCs w:val="18"/>
    </w:rPr>
  </w:style>
  <w:style w:type="paragraph" w:styleId="a6">
    <w:name w:val="footer"/>
    <w:basedOn w:val="a"/>
    <w:link w:val="Char1"/>
    <w:uiPriority w:val="99"/>
    <w:unhideWhenUsed/>
    <w:rsid w:val="006A30BD"/>
    <w:pPr>
      <w:tabs>
        <w:tab w:val="center" w:pos="4153"/>
        <w:tab w:val="right" w:pos="8306"/>
      </w:tabs>
      <w:snapToGrid w:val="0"/>
      <w:jc w:val="left"/>
    </w:pPr>
    <w:rPr>
      <w:sz w:val="18"/>
      <w:szCs w:val="18"/>
    </w:rPr>
  </w:style>
  <w:style w:type="character" w:customStyle="1" w:styleId="Char1">
    <w:name w:val="页脚 Char"/>
    <w:basedOn w:val="a0"/>
    <w:link w:val="a6"/>
    <w:uiPriority w:val="99"/>
    <w:rsid w:val="006A30BD"/>
    <w:rPr>
      <w:rFonts w:ascii="Times New Roman" w:eastAsia="宋体" w:hAnsi="Times New Roman" w:cs="Times New Roman"/>
      <w:sz w:val="18"/>
      <w:szCs w:val="18"/>
    </w:rPr>
  </w:style>
  <w:style w:type="paragraph" w:customStyle="1" w:styleId="p0">
    <w:name w:val="p0"/>
    <w:basedOn w:val="a"/>
    <w:rsid w:val="006823D5"/>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2"/>
    <w:uiPriority w:val="99"/>
    <w:semiHidden/>
    <w:unhideWhenUsed/>
    <w:rsid w:val="006823D5"/>
    <w:rPr>
      <w:sz w:val="18"/>
      <w:szCs w:val="18"/>
    </w:rPr>
  </w:style>
  <w:style w:type="character" w:customStyle="1" w:styleId="Char2">
    <w:name w:val="批注框文本 Char"/>
    <w:basedOn w:val="a0"/>
    <w:link w:val="a7"/>
    <w:uiPriority w:val="99"/>
    <w:semiHidden/>
    <w:rsid w:val="006823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彭焰男</cp:lastModifiedBy>
  <cp:revision>11</cp:revision>
  <cp:lastPrinted>2017-06-15T03:07:00Z</cp:lastPrinted>
  <dcterms:created xsi:type="dcterms:W3CDTF">2017-06-08T06:02:00Z</dcterms:created>
  <dcterms:modified xsi:type="dcterms:W3CDTF">2017-12-28T05:43:00Z</dcterms:modified>
</cp:coreProperties>
</file>