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E" w:rsidRPr="00A26814" w:rsidRDefault="00A26814" w:rsidP="00A26814">
      <w:pPr>
        <w:spacing w:line="560" w:lineRule="exact"/>
        <w:jc w:val="center"/>
        <w:rPr>
          <w:rFonts w:ascii="方正小标宋简体" w:eastAsia="方正小标宋简体"/>
          <w:b/>
          <w:bCs/>
          <w:color w:val="FF0000"/>
          <w:sz w:val="52"/>
          <w:szCs w:val="52"/>
        </w:rPr>
      </w:pPr>
      <w:r w:rsidRPr="00A26814">
        <w:rPr>
          <w:rFonts w:ascii="方正小标宋简体" w:eastAsia="方正小标宋简体" w:hint="eastAsia"/>
          <w:b/>
          <w:bCs/>
          <w:color w:val="FF0000"/>
          <w:sz w:val="52"/>
          <w:szCs w:val="52"/>
        </w:rPr>
        <w:t>昆明市五华区商务和投资促进局</w:t>
      </w:r>
    </w:p>
    <w:p w:rsidR="00A26814" w:rsidRDefault="00A26814" w:rsidP="00A26814">
      <w:pPr>
        <w:spacing w:line="560" w:lineRule="exact"/>
        <w:jc w:val="center"/>
        <w:rPr>
          <w:rFonts w:ascii="方正小标宋简体" w:eastAsia="方正小标宋简体"/>
          <w:b/>
          <w:bCs/>
          <w:color w:val="FF0000"/>
          <w:sz w:val="52"/>
          <w:szCs w:val="52"/>
        </w:rPr>
      </w:pPr>
      <w:r w:rsidRPr="00A26814">
        <w:rPr>
          <w:rFonts w:ascii="方正小标宋简体" w:eastAsia="方正小标宋简体" w:hint="eastAsia"/>
          <w:b/>
          <w:bCs/>
          <w:color w:val="FF0000"/>
          <w:sz w:val="52"/>
          <w:szCs w:val="52"/>
        </w:rPr>
        <w:t>昆明市五华区发展和改革局</w:t>
      </w:r>
    </w:p>
    <w:p w:rsidR="00A26814" w:rsidRPr="00A26814" w:rsidRDefault="00FB7F3E" w:rsidP="00A26814">
      <w:pPr>
        <w:spacing w:line="560" w:lineRule="exact"/>
        <w:jc w:val="center"/>
        <w:rPr>
          <w:rFonts w:ascii="方正小标宋简体" w:eastAsia="方正小标宋简体"/>
          <w:b/>
          <w:bCs/>
          <w:color w:val="FF0000"/>
          <w:sz w:val="52"/>
          <w:szCs w:val="52"/>
        </w:rPr>
      </w:pPr>
      <w:r>
        <w:rPr>
          <w:rFonts w:ascii="方正小标宋简体" w:eastAsia="方正小标宋简体"/>
          <w:b/>
          <w:bCs/>
          <w:noProof/>
          <w:color w:val="FF0000"/>
          <w:sz w:val="52"/>
          <w:szCs w:val="52"/>
        </w:rPr>
        <w:pict>
          <v:line id="直接连接符 3" o:spid="_x0000_s2051" style="position:absolute;left:0;text-align:left;flip:y;z-index:-251658752" from="6.1pt,10.85pt" to="428.35pt,10.85pt" o:gfxdata="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ROxUO1wAAAAsBAAAP&#10;AAAAAAAAAAEAIAAAACIAAABkcnMvZG93bnJldi54bWxQSwECFAAUAAAACACHTuJASTT7LeABAAB+&#10;AwAADgAAAAAAAAABACAAAAAmAQAAZHJzL2Uyb0RvYy54bWxQSwUGAAAAAAYABgBZAQAAeAUAAAAA&#10;" strokecolor="red" strokeweight="2pt">
            <v:stroke joinstyle="miter"/>
          </v:line>
        </w:pict>
      </w:r>
    </w:p>
    <w:p w:rsidR="00C6624E" w:rsidRPr="001C580C" w:rsidRDefault="00C6624E" w:rsidP="00C6624E">
      <w:pPr>
        <w:spacing w:line="560" w:lineRule="exact"/>
        <w:ind w:firstLineChars="1700" w:firstLine="5440"/>
        <w:rPr>
          <w:rFonts w:ascii="仿宋_GB2312" w:eastAsia="仿宋_GB2312"/>
          <w:color w:val="000000"/>
          <w:sz w:val="32"/>
          <w:szCs w:val="32"/>
        </w:rPr>
      </w:pPr>
      <w:r w:rsidRPr="001C580C">
        <w:rPr>
          <w:rFonts w:ascii="仿宋_GB2312" w:eastAsia="仿宋_GB2312" w:cs="仿宋_GB2312" w:hint="eastAsia"/>
          <w:color w:val="000000"/>
          <w:sz w:val="32"/>
          <w:szCs w:val="32"/>
        </w:rPr>
        <w:t>〔</w:t>
      </w:r>
      <w:r w:rsidRPr="001C580C">
        <w:rPr>
          <w:rFonts w:ascii="仿宋_GB2312" w:eastAsia="仿宋_GB2312" w:hint="eastAsia"/>
          <w:color w:val="000000"/>
          <w:sz w:val="32"/>
          <w:szCs w:val="32"/>
        </w:rPr>
        <w:t>办理类型</w:t>
      </w:r>
      <w:r w:rsidRPr="001C580C"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</w:t>
      </w:r>
    </w:p>
    <w:p w:rsidR="00C6624E" w:rsidRPr="001C580C" w:rsidRDefault="00C6624E" w:rsidP="00C6624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1C580C">
        <w:rPr>
          <w:rFonts w:ascii="仿宋_GB2312" w:eastAsia="仿宋_GB2312" w:hint="eastAsia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</w:t>
      </w:r>
      <w:r w:rsidRPr="001C580C">
        <w:rPr>
          <w:rFonts w:ascii="仿宋_GB2312" w:eastAsia="仿宋_GB2312" w:cs="仿宋_GB2312" w:hint="eastAsia"/>
          <w:color w:val="000000"/>
          <w:sz w:val="32"/>
          <w:szCs w:val="32"/>
        </w:rPr>
        <w:t>〔是否公开〕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是</w:t>
      </w:r>
    </w:p>
    <w:p w:rsidR="00C6624E" w:rsidRPr="001C580C" w:rsidRDefault="00C6624E" w:rsidP="00C6624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1C580C">
        <w:rPr>
          <w:rFonts w:ascii="仿宋_GB2312" w:eastAsia="仿宋_GB2312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 w:hint="eastAsia"/>
          <w:color w:val="000000"/>
          <w:sz w:val="32"/>
          <w:szCs w:val="32"/>
        </w:rPr>
        <w:t>商投</w:t>
      </w:r>
      <w:r w:rsidRPr="001C580C">
        <w:rPr>
          <w:rFonts w:ascii="仿宋_GB2312" w:eastAsia="仿宋_GB2312" w:cs="仿宋_GB2312" w:hint="eastAsia"/>
          <w:color w:val="000000"/>
          <w:sz w:val="32"/>
          <w:szCs w:val="32"/>
        </w:rPr>
        <w:t>函〔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2020</w:t>
      </w:r>
      <w:r w:rsidRPr="001C580C"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6</w:t>
      </w:r>
      <w:r w:rsidRPr="001C580C">
        <w:rPr>
          <w:rFonts w:ascii="仿宋_GB2312" w:eastAsia="仿宋_GB2312" w:cs="仿宋_GB2312" w:hint="eastAsia"/>
          <w:color w:val="000000"/>
          <w:sz w:val="32"/>
          <w:szCs w:val="32"/>
        </w:rPr>
        <w:t>号</w:t>
      </w:r>
    </w:p>
    <w:p w:rsidR="000D7515" w:rsidRDefault="000D7515" w:rsidP="003A5722">
      <w:pPr>
        <w:spacing w:line="560" w:lineRule="exact"/>
        <w:jc w:val="center"/>
        <w:rPr>
          <w:rFonts w:eastAsia="方正小标宋_GBK" w:cs="方正小标宋_GBK"/>
          <w:color w:val="000000"/>
          <w:sz w:val="44"/>
          <w:szCs w:val="44"/>
        </w:rPr>
      </w:pPr>
    </w:p>
    <w:p w:rsidR="003A5722" w:rsidRDefault="003A5722" w:rsidP="003A5722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cs="方正小标宋_GBK" w:hint="eastAsia"/>
          <w:color w:val="000000"/>
          <w:sz w:val="44"/>
          <w:szCs w:val="44"/>
        </w:rPr>
        <w:t>关于五华区第</w:t>
      </w:r>
      <w:r w:rsidRPr="00763113">
        <w:rPr>
          <w:rStyle w:val="a5"/>
          <w:rFonts w:ascii="Times New Roman" w:eastAsia="方正小标宋_GBK" w:hAnsi="Times New Roman"/>
          <w:szCs w:val="44"/>
        </w:rPr>
        <w:t>十六</w:t>
      </w:r>
      <w:r>
        <w:rPr>
          <w:rFonts w:eastAsia="方正小标宋_GBK" w:cs="方正小标宋_GBK" w:hint="eastAsia"/>
          <w:color w:val="000000"/>
          <w:sz w:val="44"/>
          <w:szCs w:val="44"/>
        </w:rPr>
        <w:t>届人大</w:t>
      </w:r>
      <w:r w:rsidRPr="00763113">
        <w:rPr>
          <w:rStyle w:val="a5"/>
          <w:rFonts w:ascii="Times New Roman" w:eastAsia="方正小标宋_GBK" w:hAnsi="Times New Roman" w:hint="eastAsia"/>
          <w:szCs w:val="44"/>
        </w:rPr>
        <w:t>四</w:t>
      </w:r>
      <w:r w:rsidRPr="00763113">
        <w:rPr>
          <w:rStyle w:val="a5"/>
          <w:rFonts w:ascii="Times New Roman" w:eastAsia="方正小标宋_GBK" w:hAnsi="Times New Roman"/>
          <w:szCs w:val="44"/>
        </w:rPr>
        <w:t>次会议</w:t>
      </w:r>
      <w:r>
        <w:rPr>
          <w:rFonts w:eastAsia="方正小标宋_GBK" w:cs="方正小标宋_GBK" w:hint="eastAsia"/>
          <w:color w:val="000000"/>
          <w:sz w:val="44"/>
          <w:szCs w:val="44"/>
        </w:rPr>
        <w:t>第</w:t>
      </w:r>
      <w:r>
        <w:rPr>
          <w:rFonts w:eastAsia="方正小标宋_GBK" w:hint="eastAsia"/>
          <w:color w:val="000000"/>
          <w:sz w:val="44"/>
          <w:szCs w:val="44"/>
        </w:rPr>
        <w:t>45</w:t>
      </w:r>
      <w:r>
        <w:rPr>
          <w:rFonts w:eastAsia="方正小标宋_GBK" w:cs="方正小标宋_GBK" w:hint="eastAsia"/>
          <w:color w:val="000000"/>
          <w:sz w:val="44"/>
          <w:szCs w:val="44"/>
        </w:rPr>
        <w:t>号</w:t>
      </w:r>
    </w:p>
    <w:p w:rsidR="003A5722" w:rsidRDefault="003A5722" w:rsidP="003A5722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cs="方正小标宋_GBK" w:hint="eastAsia"/>
          <w:color w:val="000000"/>
          <w:sz w:val="44"/>
          <w:szCs w:val="44"/>
        </w:rPr>
        <w:t>建议答复的函</w:t>
      </w:r>
    </w:p>
    <w:p w:rsidR="003A5722" w:rsidRDefault="003A5722" w:rsidP="003A5722">
      <w:pPr>
        <w:spacing w:line="560" w:lineRule="exact"/>
        <w:rPr>
          <w:rFonts w:eastAsia="方正小标宋_GBK"/>
          <w:color w:val="000000"/>
          <w:sz w:val="44"/>
          <w:szCs w:val="44"/>
        </w:rPr>
      </w:pPr>
    </w:p>
    <w:p w:rsidR="003A5722" w:rsidRPr="001C580C" w:rsidRDefault="003A5722" w:rsidP="00160DDE">
      <w:pPr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杨菁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代表：</w:t>
      </w:r>
    </w:p>
    <w:p w:rsidR="003A5722" w:rsidRDefault="003A5722" w:rsidP="00160DDE">
      <w:pPr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1C580C">
        <w:rPr>
          <w:rFonts w:ascii="Times New Roman" w:eastAsia="仿宋_GB2312" w:hAnsi="Times New Roman"/>
          <w:color w:val="000000"/>
          <w:sz w:val="32"/>
          <w:szCs w:val="32"/>
        </w:rPr>
        <w:t xml:space="preserve">   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您提出的</w:t>
      </w:r>
      <w:r>
        <w:rPr>
          <w:rFonts w:ascii="仿宋_GB2312" w:eastAsia="仿宋_GB2312" w:hint="eastAsia"/>
          <w:sz w:val="28"/>
          <w:szCs w:val="28"/>
        </w:rPr>
        <w:t>关于</w:t>
      </w:r>
      <w:r w:rsidRPr="003A5722">
        <w:rPr>
          <w:rFonts w:ascii="仿宋_GB2312" w:eastAsia="仿宋_GB2312" w:hint="eastAsia"/>
          <w:sz w:val="32"/>
          <w:szCs w:val="32"/>
        </w:rPr>
        <w:t>《完善志愿配送服务体系的建议》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建议收悉，现答复如下：</w:t>
      </w:r>
    </w:p>
    <w:p w:rsidR="003A5722" w:rsidRPr="00F118A2" w:rsidRDefault="003A5722" w:rsidP="00160DDE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  <w:r w:rsidRPr="00F118A2">
        <w:rPr>
          <w:rFonts w:ascii="黑体" w:eastAsia="黑体" w:hAnsi="黑体" w:hint="eastAsia"/>
          <w:color w:val="000000"/>
          <w:sz w:val="32"/>
          <w:szCs w:val="32"/>
        </w:rPr>
        <w:t xml:space="preserve"> 一、智慧社区建设背景</w:t>
      </w:r>
    </w:p>
    <w:p w:rsidR="00E300EA" w:rsidRDefault="003A5722" w:rsidP="00160DDE">
      <w:pPr>
        <w:spacing w:line="580" w:lineRule="exact"/>
        <w:ind w:firstLine="645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3A572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2017年6月，《中共中央国务院关于加强和完善城乡社区治理的意见》发布，明确指出要“实施‘互联网＋社区’行动计划，加快互联网与社区治理和服务体系的深度融合，运用社区论坛、微博、微信、移动客户端等新媒体，引导社区居民密切日常交往、参与公共事务、开展协商活动、组织邻里互助，探索网络化社区治理和服务新模式”。智慧社区建设以物联网、大数据等前沿技术为核心，实现了“互联网+社区”治理模式的升级，能够有效破解目前我国社区治理中的难题，提升社区治理效率。</w:t>
      </w:r>
    </w:p>
    <w:p w:rsidR="003A5722" w:rsidRDefault="00E300EA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lastRenderedPageBreak/>
        <w:t>今年的新冠肺炎疫情催生了新型消费和升级消费，</w:t>
      </w:r>
      <w:r w:rsid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为进一步顺应消费方式转型升级，需加快推进智慧社区建设，实现志愿配送服务体系建设和社区居民生活深度融合。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F118A2">
        <w:rPr>
          <w:rFonts w:ascii="黑体" w:eastAsia="黑体" w:hAnsi="黑体" w:hint="eastAsia"/>
          <w:bCs/>
          <w:color w:val="000000"/>
          <w:sz w:val="32"/>
          <w:szCs w:val="32"/>
        </w:rPr>
        <w:t>二、</w:t>
      </w:r>
      <w:r w:rsidR="0094105A">
        <w:rPr>
          <w:rFonts w:ascii="黑体" w:eastAsia="黑体" w:hAnsi="黑体" w:hint="eastAsia"/>
          <w:bCs/>
          <w:color w:val="000000"/>
          <w:sz w:val="32"/>
          <w:szCs w:val="32"/>
        </w:rPr>
        <w:t>完善志愿配送服务体系</w:t>
      </w:r>
      <w:r w:rsidRPr="00F118A2">
        <w:rPr>
          <w:rFonts w:ascii="黑体" w:eastAsia="黑体" w:hAnsi="黑体" w:hint="eastAsia"/>
          <w:bCs/>
          <w:color w:val="000000"/>
          <w:sz w:val="32"/>
          <w:szCs w:val="32"/>
        </w:rPr>
        <w:t>建设重大意义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社区是人民群众最重要的生活场所，社区治理关系到人民群众的切身利益。传统的社区治理主要依赖于基层党组织与政府，管理方式较为落后。随着人民生活水平的不断提高，现有模式已经无法满足人民群众日益增长的需求，以互联网技术为核心的社区治理方式由此而产生。以互联网技术为核心的社区治理方式提高了社区治理的效率，增强了社区居民的生活体验，但其距离真正的智慧社区还存在着较大的差距。智慧社区以物联网、大数据等新兴科技为基础，为社区治理增添了智慧的“大脑”。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志愿配送服务体系的建设和完善将在一定程度上实现社区便民，尤其是方便社区老年人，推动社区养老建设发展。</w:t>
      </w:r>
    </w:p>
    <w:p w:rsidR="00F118A2" w:rsidRPr="00F118A2" w:rsidRDefault="0094105A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完善志愿配送服务体系作为</w:t>
      </w:r>
      <w:r w:rsidR="00F118A2"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智慧社区</w:t>
      </w: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建设的重要内容</w:t>
      </w:r>
      <w:r w:rsidR="00F118A2"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通过对最新科学技术的应用全面提升治理效率，满足人民群众基本的生活需要。一方面，</w:t>
      </w: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志愿配送服务体系的建设</w:t>
      </w:r>
      <w:r w:rsidR="00F118A2"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实现了社区的全面自动化管理，节约了大量的人力成本，能够为居民提供更加优质的服务。在社区生活中，安全、物业、健康等问题，不仅与居民日常生活息息相关，也是社区治理的重点。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="00F118A2"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通过对物联网技术的应用，实现了对非法入侵、消防等安全问题的</w:t>
      </w:r>
      <w:r w:rsidR="00F118A2"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lastRenderedPageBreak/>
        <w:t>全面监控，有效提升了社区的安全管理能力。同时，</w:t>
      </w: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志愿配送服务体系建设</w:t>
      </w:r>
      <w:r w:rsidR="00F118A2"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构建了大量的便民服务平台，居民足不出户就可以完成相关事务的办理，大大增强了便利性。另一方面，</w:t>
      </w: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志愿配送服务体系建设</w:t>
      </w:r>
      <w:r w:rsidR="00F118A2"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具有多部门联动的配套管理机制，能够在短时间内整合公共管理资源，解决社区治理难题。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志愿配送服务体系建设</w:t>
      </w:r>
      <w:r w:rsidR="00F118A2"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以信息技术为核心，搭建了基层党组织、政府、社会组织等多主体协同工作的平台，避免了传统社区治理中的“踢皮球”现象。</w:t>
      </w:r>
    </w:p>
    <w:p w:rsidR="00F118A2" w:rsidRDefault="0094105A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志愿配送服务体系建设</w:t>
      </w:r>
      <w:r w:rsidR="00F118A2"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注重与居民的沟通、交流，满足居民对优质社区治理的需求。以管理为核心的社区治理模式缺乏人性化思维，服务意识不足，无法实现社区治理的进一步发展。而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之韵配送服务体系</w:t>
      </w:r>
      <w:r w:rsidR="00F118A2"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坚持以人为本的基本原则，在打造便民服务平台的同时，进一步加强对大数据技术的应用，其结合调研、走访等传统方式，深入分析社区治理中存在的各种问题，着力解决突出矛盾，实现了从管理到服务的有效转变。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F118A2">
        <w:rPr>
          <w:rFonts w:ascii="黑体" w:eastAsia="黑体" w:hAnsi="黑体" w:hint="eastAsia"/>
          <w:bCs/>
          <w:color w:val="000000"/>
          <w:sz w:val="32"/>
          <w:szCs w:val="32"/>
        </w:rPr>
        <w:t>三、下一步工作重点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000009">
        <w:rPr>
          <w:rFonts w:ascii="仿宋_GB2312" w:eastAsia="仿宋_GB2312" w:hAnsi="黑体" w:hint="eastAsia"/>
          <w:bCs/>
          <w:color w:val="000000"/>
          <w:sz w:val="32"/>
          <w:szCs w:val="32"/>
        </w:rPr>
        <w:t>（一）统筹规划，打造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新体系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要加强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建设系统规划。目前，我国的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建设尚处于起步阶段，缺乏必要的经验。因此，必须要做好顶层设计，保障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建设的全面发展。首先，要深入研究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的发展需求，明确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的发展方向。当前我国正处于经济转型发展的重要阶段，居民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lastRenderedPageBreak/>
        <w:t>对社区治理的需求不断变化，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建设必须要充分考虑社区居民的实际需求，并以此为奋斗方向，整合资源，加大技术创新。其次，要制定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建设宏观规划。地方政府要把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建设纳入重点工作，围绕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建设的实际需要、发展方向、保障措施等制定宏观发展规划。最后，要制定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建设标准规范。为了满足资源共享、协同共治的要求，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建设必须要统筹协调各主体的需求，制定标准规范。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要完善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的运行保障机制。首先，要发挥政府的协调作用，引导各方主体积极参与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建设。在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建设中，政府承担着重要的责任，是协调各方利益关系的重要媒介。地方政府应进一步加大宏观调控力度，为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建设提供必要的经济与技术支持。其次，要进一步加强宣传教育，鼓励居民积极参与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建设，营造全体居民共同参与的良好氛围，全面提升社区治理效率。最后，要创新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行政管理模式，保障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的稳定运行。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建设涉及的行政管理部门较多，传统的分散式管理存在管理重叠与管理漏洞问题，不利于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的全面发展。因此，应结合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的管理需求，整合行政管理资源，构建包含多部门在内的统一管理平台。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lastRenderedPageBreak/>
        <w:t>（二）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加强前沿技术应用，打造便民服务新平台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我国在物联网、大数据等现代信息技术方面所取得的重大成果，为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的进一步发展奠定了坚实的基础，也为社会治理服务质量的提升提供了新的途径。当前，我们必须要充分认识信息技术对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建设的重要性，加强对物联网、云计算等现代信息技术的应用。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首先，要加大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建设的资金投入力度，巩固前沿信息技术应用基础。政府要充分认识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建设的重要性，在财政资金补贴方面向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倾斜，为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其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发展提供必要的资金。同时，可以通过探索市场化运行等新型社区治理模式，拓宽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建设的资金来源。其次，要立足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建设需求，加强技术创新。目前，我国的前沿信息技术尚处于发展的初期阶段，尚未完全成熟。未来，我们要破解技术难题，提升智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的整体性能。最后，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建设必须要坚持惠民原则，使居民享受到先进技术红利。要随时关注居民的生活诉求，了解居民的生活困难，提升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的服务水准。同时，要以先进科技为基础，解决社区治理中的复杂问题，为居民提供更加优质的服务。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（三）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强化运营队伍建设，培养新型智慧居民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要加强社区治理团队建设，提高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的治理能力。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建设并不是单纯的系统建设，其需要具有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lastRenderedPageBreak/>
        <w:t>较高技术与管理能力的运营团队。因此，我们应以社区治理团队建设为抓手，增强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的稳定性。首先，要引导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治理团队转变工作理念、端正服务态度。服务居民是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建设的初衷，也是增强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软实力的基本要求。社区治理团队能力的加强，必须要不断提高服务民众的能力，全面落实为人民服务的基本工作理念，实现管理与服务的协同发展。其次，要加强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基础技术培训，构建社区治理培训长效机制。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运营涉及到大量的信息技术专业知识，社区治理团队必须要具备基本的专业知识。因此，要针对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的运营情况，对工作人员的基本技能进行培训，同时，要构建社区治理技能培训的长效机制，实现团队能力的可持续提升。</w:t>
      </w:r>
    </w:p>
    <w:p w:rsidR="00F118A2" w:rsidRPr="00F118A2" w:rsidRDefault="00F118A2" w:rsidP="00160DDE">
      <w:pPr>
        <w:spacing w:line="58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要学习借鉴居民的智慧，巩固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的群众基础。社区居民是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平台的主要使用群体，社区居民的满意程度是判定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治理效果的重要因素。当前，由于部分社区居民文化水平不足，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平台的使用效果并不理想，阻碍了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治理效率的进一步提升。因此，</w:t>
      </w:r>
      <w:r w:rsidR="0094105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建设必须要从居民角度出发，提升居民对</w:t>
      </w:r>
      <w:r w:rsidR="00160DD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平台的应用能力。应加大</w:t>
      </w:r>
      <w:r w:rsidR="00160DD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平台的推广力度，培养居民的智慧生活思维。社区工作人员应以实际工作开展为切入点，引导居民通过</w:t>
      </w:r>
      <w:r w:rsidR="00160DD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平台处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lastRenderedPageBreak/>
        <w:t>理社区生活问题，拓宽</w:t>
      </w:r>
      <w:r w:rsidR="0052093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平台的使用范围，发挥</w:t>
      </w:r>
      <w:r w:rsidR="00160DD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志愿配送服务体系</w:t>
      </w:r>
      <w:r w:rsidRPr="00F118A2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平台优势。</w:t>
      </w:r>
    </w:p>
    <w:p w:rsidR="003A5722" w:rsidRPr="001C580C" w:rsidRDefault="003A5722" w:rsidP="00160DDE">
      <w:pPr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1C580C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感谢您对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五华区商务和投资促进局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工作的关心和支持。</w:t>
      </w:r>
    </w:p>
    <w:p w:rsidR="003A5722" w:rsidRPr="001C580C" w:rsidRDefault="003A5722" w:rsidP="00160DDE">
      <w:pPr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1C580C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以上答复，如有不妥，请批评指正。</w:t>
      </w:r>
    </w:p>
    <w:p w:rsidR="003A5722" w:rsidRDefault="003A5722" w:rsidP="00160DDE">
      <w:pPr>
        <w:spacing w:line="580" w:lineRule="exact"/>
        <w:ind w:firstLineChars="150" w:firstLine="480"/>
        <w:rPr>
          <w:rFonts w:ascii="Times New Roman" w:eastAsia="仿宋_GB2312" w:hAnsi="Times New Roman"/>
          <w:color w:val="000000"/>
          <w:sz w:val="32"/>
          <w:szCs w:val="32"/>
        </w:rPr>
      </w:pPr>
      <w:r w:rsidRPr="001C580C">
        <w:rPr>
          <w:rFonts w:ascii="Times New Roman" w:eastAsia="仿宋_GB2312" w:hAnsi="Times New Roman"/>
          <w:color w:val="000000"/>
          <w:sz w:val="32"/>
          <w:szCs w:val="32"/>
        </w:rPr>
        <w:t>（联系人及电话：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刘金凤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 xml:space="preserve"> 0871-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63639372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:rsidR="00F118A2" w:rsidRDefault="00F118A2" w:rsidP="00160DDE">
      <w:pPr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118A2" w:rsidRPr="001C580C" w:rsidRDefault="00F118A2" w:rsidP="00160DDE">
      <w:pPr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A5722" w:rsidRPr="001C580C" w:rsidRDefault="00FC33CA" w:rsidP="00160DDE">
      <w:pPr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 w:rsidR="00F118A2">
        <w:rPr>
          <w:rFonts w:ascii="Times New Roman" w:eastAsia="仿宋_GB2312" w:hAnsi="Times New Roman" w:hint="eastAsia"/>
          <w:color w:val="000000"/>
          <w:sz w:val="32"/>
          <w:szCs w:val="32"/>
        </w:rPr>
        <w:t>五华区商务和投资促进局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五华区发展和改革局</w:t>
      </w:r>
    </w:p>
    <w:p w:rsidR="003A5722" w:rsidRPr="001C580C" w:rsidRDefault="00FC33CA" w:rsidP="00160DDE">
      <w:pPr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="00F118A2">
        <w:rPr>
          <w:rFonts w:ascii="Times New Roman" w:eastAsia="仿宋_GB2312" w:hAnsi="Times New Roman" w:hint="eastAsia"/>
          <w:color w:val="000000"/>
          <w:sz w:val="32"/>
          <w:szCs w:val="32"/>
        </w:rPr>
        <w:t>2020</w:t>
      </w:r>
      <w:r w:rsidR="003A5722" w:rsidRPr="001C580C"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 w:rsidR="003A5722" w:rsidRPr="001C580C"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3A5722" w:rsidRPr="001C580C"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3A5722" w:rsidRDefault="003A5722" w:rsidP="00160DDE">
      <w:pPr>
        <w:adjustRightInd w:val="0"/>
        <w:snapToGrid w:val="0"/>
        <w:spacing w:line="580" w:lineRule="exact"/>
        <w:ind w:firstLineChars="200" w:firstLine="480"/>
        <w:rPr>
          <w:szCs w:val="32"/>
        </w:rPr>
      </w:pPr>
    </w:p>
    <w:p w:rsidR="00F118A2" w:rsidRDefault="00F118A2" w:rsidP="00160DDE">
      <w:pPr>
        <w:adjustRightInd w:val="0"/>
        <w:snapToGrid w:val="0"/>
        <w:spacing w:line="580" w:lineRule="exact"/>
        <w:ind w:firstLineChars="200" w:firstLine="480"/>
        <w:rPr>
          <w:szCs w:val="32"/>
        </w:rPr>
      </w:pPr>
    </w:p>
    <w:p w:rsidR="00F118A2" w:rsidRDefault="00F118A2" w:rsidP="003A5722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F118A2" w:rsidRDefault="00F118A2" w:rsidP="003A5722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F118A2" w:rsidRDefault="00F118A2" w:rsidP="009A1B81">
      <w:pPr>
        <w:adjustRightInd w:val="0"/>
        <w:snapToGrid w:val="0"/>
        <w:spacing w:line="560" w:lineRule="exact"/>
        <w:rPr>
          <w:szCs w:val="32"/>
        </w:rPr>
      </w:pPr>
    </w:p>
    <w:p w:rsidR="00F118A2" w:rsidRDefault="00F118A2" w:rsidP="003A5722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F118A2" w:rsidRDefault="00F118A2" w:rsidP="003A5722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160DDE" w:rsidRDefault="00160DDE" w:rsidP="003A5722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160DDE" w:rsidRDefault="00160DDE" w:rsidP="003A5722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160DDE" w:rsidRDefault="00160DDE" w:rsidP="003A5722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F118A2" w:rsidRDefault="00F118A2" w:rsidP="003A5722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7"/>
      </w:tblGrid>
      <w:tr w:rsidR="003A5722" w:rsidRPr="00CE68DA" w:rsidTr="00186297">
        <w:tc>
          <w:tcPr>
            <w:tcW w:w="8847" w:type="dxa"/>
          </w:tcPr>
          <w:p w:rsidR="003A5722" w:rsidRPr="00763113" w:rsidRDefault="003A5722" w:rsidP="00186297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763113">
              <w:rPr>
                <w:rFonts w:ascii="仿宋_GB2312" w:eastAsia="仿宋_GB2312" w:hint="eastAsia"/>
                <w:snapToGrid w:val="0"/>
                <w:sz w:val="28"/>
                <w:szCs w:val="28"/>
              </w:rPr>
              <w:t>抄送：</w:t>
            </w:r>
            <w:r w:rsidRPr="00841929">
              <w:rPr>
                <w:rFonts w:ascii="Times New Roman" w:eastAsia="仿宋_GB2312" w:hAnsi="Times New Roman"/>
                <w:sz w:val="28"/>
                <w:szCs w:val="28"/>
              </w:rPr>
              <w:t>区人大人事委，区政府目督办</w:t>
            </w:r>
            <w:r w:rsidRPr="00763113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。</w:t>
            </w:r>
          </w:p>
        </w:tc>
      </w:tr>
      <w:tr w:rsidR="003A5722" w:rsidRPr="00F118A2" w:rsidTr="00186297">
        <w:tc>
          <w:tcPr>
            <w:tcW w:w="8847" w:type="dxa"/>
          </w:tcPr>
          <w:p w:rsidR="003A5722" w:rsidRPr="00763113" w:rsidRDefault="00F118A2" w:rsidP="00FC33CA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五华区商务和投资促进局</w:t>
            </w:r>
            <w:r w:rsidR="003A5722" w:rsidRPr="00763113"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2020</w:t>
            </w:r>
            <w:r w:rsidR="003A5722" w:rsidRPr="00763113"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年</w:t>
            </w:r>
            <w:r w:rsidR="00FC33CA">
              <w:rPr>
                <w:rFonts w:ascii="Times New Roman" w:eastAsia="仿宋_GB2312" w:hAnsi="Times New Roman" w:hint="eastAsia"/>
                <w:color w:val="000000"/>
                <w:szCs w:val="32"/>
              </w:rPr>
              <w:t>9</w:t>
            </w:r>
            <w:r w:rsidR="003A5722" w:rsidRPr="00763113"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月</w:t>
            </w:r>
            <w:r w:rsidR="00FC33CA">
              <w:rPr>
                <w:rFonts w:ascii="Times New Roman" w:eastAsia="仿宋_GB2312" w:hAnsi="Times New Roman" w:hint="eastAsia"/>
                <w:color w:val="000000"/>
                <w:szCs w:val="32"/>
              </w:rPr>
              <w:t>3</w:t>
            </w:r>
            <w:r w:rsidR="003A5722" w:rsidRPr="00763113"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日印发</w:t>
            </w:r>
          </w:p>
        </w:tc>
      </w:tr>
    </w:tbl>
    <w:p w:rsidR="003A5722" w:rsidRPr="00571C76" w:rsidRDefault="003A5722" w:rsidP="003A5722">
      <w:pPr>
        <w:adjustRightInd w:val="0"/>
        <w:snapToGrid w:val="0"/>
        <w:spacing w:line="20" w:lineRule="exact"/>
        <w:ind w:firstLineChars="200" w:firstLine="480"/>
        <w:rPr>
          <w:szCs w:val="32"/>
        </w:rPr>
      </w:pPr>
    </w:p>
    <w:sectPr w:rsidR="003A5722" w:rsidRPr="00571C76" w:rsidSect="00160DD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CE3" w:rsidRDefault="00793CE3" w:rsidP="003A5722">
      <w:r>
        <w:separator/>
      </w:r>
    </w:p>
  </w:endnote>
  <w:endnote w:type="continuationSeparator" w:id="1">
    <w:p w:rsidR="00793CE3" w:rsidRDefault="00793CE3" w:rsidP="003A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山简标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4203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C6624E" w:rsidRDefault="00FB7F3E">
        <w:pPr>
          <w:pStyle w:val="a4"/>
        </w:pPr>
        <w:r w:rsidRPr="00C6624E">
          <w:rPr>
            <w:sz w:val="32"/>
            <w:szCs w:val="32"/>
          </w:rPr>
          <w:fldChar w:fldCharType="begin"/>
        </w:r>
        <w:r w:rsidR="00C6624E" w:rsidRPr="00C6624E">
          <w:rPr>
            <w:sz w:val="32"/>
            <w:szCs w:val="32"/>
          </w:rPr>
          <w:instrText xml:space="preserve"> PAGE   \* MERGEFORMAT </w:instrText>
        </w:r>
        <w:r w:rsidRPr="00C6624E">
          <w:rPr>
            <w:sz w:val="32"/>
            <w:szCs w:val="32"/>
          </w:rPr>
          <w:fldChar w:fldCharType="separate"/>
        </w:r>
        <w:r w:rsidR="00D84EE0" w:rsidRPr="00D84EE0">
          <w:rPr>
            <w:noProof/>
            <w:sz w:val="32"/>
            <w:szCs w:val="32"/>
            <w:lang w:val="zh-CN"/>
          </w:rPr>
          <w:t>-</w:t>
        </w:r>
        <w:r w:rsidR="00D84EE0">
          <w:rPr>
            <w:noProof/>
            <w:sz w:val="32"/>
            <w:szCs w:val="32"/>
          </w:rPr>
          <w:t xml:space="preserve"> 6 -</w:t>
        </w:r>
        <w:r w:rsidRPr="00C6624E">
          <w:rPr>
            <w:sz w:val="32"/>
            <w:szCs w:val="32"/>
          </w:rPr>
          <w:fldChar w:fldCharType="end"/>
        </w:r>
      </w:p>
    </w:sdtContent>
  </w:sdt>
  <w:p w:rsidR="00C6624E" w:rsidRDefault="00C662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4200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C6624E" w:rsidRDefault="00FB7F3E">
        <w:pPr>
          <w:pStyle w:val="a4"/>
          <w:jc w:val="right"/>
        </w:pPr>
        <w:r w:rsidRPr="00C6624E">
          <w:rPr>
            <w:sz w:val="32"/>
            <w:szCs w:val="32"/>
          </w:rPr>
          <w:fldChar w:fldCharType="begin"/>
        </w:r>
        <w:r w:rsidR="00C6624E" w:rsidRPr="00C6624E">
          <w:rPr>
            <w:sz w:val="32"/>
            <w:szCs w:val="32"/>
          </w:rPr>
          <w:instrText xml:space="preserve"> PAGE   \* MERGEFORMAT </w:instrText>
        </w:r>
        <w:r w:rsidRPr="00C6624E">
          <w:rPr>
            <w:sz w:val="32"/>
            <w:szCs w:val="32"/>
          </w:rPr>
          <w:fldChar w:fldCharType="separate"/>
        </w:r>
        <w:r w:rsidR="00D84EE0" w:rsidRPr="00D84EE0">
          <w:rPr>
            <w:noProof/>
            <w:sz w:val="32"/>
            <w:szCs w:val="32"/>
            <w:lang w:val="zh-CN"/>
          </w:rPr>
          <w:t>-</w:t>
        </w:r>
        <w:r w:rsidR="00D84EE0">
          <w:rPr>
            <w:noProof/>
            <w:sz w:val="32"/>
            <w:szCs w:val="32"/>
          </w:rPr>
          <w:t xml:space="preserve"> 1 -</w:t>
        </w:r>
        <w:r w:rsidRPr="00C6624E">
          <w:rPr>
            <w:sz w:val="32"/>
            <w:szCs w:val="32"/>
          </w:rPr>
          <w:fldChar w:fldCharType="end"/>
        </w:r>
      </w:p>
    </w:sdtContent>
  </w:sdt>
  <w:p w:rsidR="00C6624E" w:rsidRDefault="00C662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CE3" w:rsidRDefault="00793CE3" w:rsidP="003A5722">
      <w:r>
        <w:separator/>
      </w:r>
    </w:p>
  </w:footnote>
  <w:footnote w:type="continuationSeparator" w:id="1">
    <w:p w:rsidR="00793CE3" w:rsidRDefault="00793CE3" w:rsidP="003A5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722"/>
    <w:rsid w:val="00000009"/>
    <w:rsid w:val="000D7515"/>
    <w:rsid w:val="00160DDE"/>
    <w:rsid w:val="002A5BF4"/>
    <w:rsid w:val="00351F9D"/>
    <w:rsid w:val="003A5722"/>
    <w:rsid w:val="003E5823"/>
    <w:rsid w:val="00417486"/>
    <w:rsid w:val="00515C24"/>
    <w:rsid w:val="0052093E"/>
    <w:rsid w:val="0052095A"/>
    <w:rsid w:val="005606A9"/>
    <w:rsid w:val="00662605"/>
    <w:rsid w:val="00793CE3"/>
    <w:rsid w:val="007A15D7"/>
    <w:rsid w:val="008A34FB"/>
    <w:rsid w:val="0094105A"/>
    <w:rsid w:val="009A1B81"/>
    <w:rsid w:val="009F2022"/>
    <w:rsid w:val="00A26814"/>
    <w:rsid w:val="00A6415B"/>
    <w:rsid w:val="00A650EA"/>
    <w:rsid w:val="00C6624E"/>
    <w:rsid w:val="00CE4FDC"/>
    <w:rsid w:val="00D84EE0"/>
    <w:rsid w:val="00D90A8B"/>
    <w:rsid w:val="00DC7431"/>
    <w:rsid w:val="00E300EA"/>
    <w:rsid w:val="00EA4162"/>
    <w:rsid w:val="00F118A2"/>
    <w:rsid w:val="00F31D83"/>
    <w:rsid w:val="00FB7F3E"/>
    <w:rsid w:val="00F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直接连接符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ot1正文"/>
    <w:qFormat/>
    <w:rsid w:val="003A5722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722"/>
    <w:rPr>
      <w:sz w:val="18"/>
      <w:szCs w:val="18"/>
    </w:rPr>
  </w:style>
  <w:style w:type="character" w:customStyle="1" w:styleId="a5">
    <w:name w:val="公文标题"/>
    <w:autoRedefine/>
    <w:rsid w:val="003A5722"/>
    <w:rPr>
      <w:rFonts w:ascii="金山简标宋" w:eastAsia="金山简标宋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520</Words>
  <Characters>2970</Characters>
  <Application>Microsoft Office Word</Application>
  <DocSecurity>0</DocSecurity>
  <Lines>24</Lines>
  <Paragraphs>6</Paragraphs>
  <ScaleCrop>false</ScaleCrop>
  <Company>MS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stj</cp:lastModifiedBy>
  <cp:revision>2</cp:revision>
  <cp:lastPrinted>2020-08-25T08:07:00Z</cp:lastPrinted>
  <dcterms:created xsi:type="dcterms:W3CDTF">2020-09-24T01:14:00Z</dcterms:created>
  <dcterms:modified xsi:type="dcterms:W3CDTF">2020-09-24T01:14:00Z</dcterms:modified>
</cp:coreProperties>
</file>