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imes New Roman"/>
          <w:b/>
          <w:sz w:val="36"/>
          <w:szCs w:val="36"/>
        </w:rPr>
      </w:pPr>
      <w:r>
        <w:rPr>
          <w:rFonts w:ascii="宋体" w:hAnsi="宋体" w:eastAsia="宋体" w:cs="Times New Roman"/>
          <w:b/>
          <w:sz w:val="36"/>
          <w:szCs w:val="36"/>
        </w:rPr>
        <w:pict>
          <v:shape id="_x0000_i1025" o:spt="136" type="#_x0000_t136" style="height:53.25pt;width:416.25pt;" fillcolor="#FF0000" filled="t" stroked="t" coordsize="21600,21600" adj="10800">
            <v:path/>
            <v:fill on="t" color2="#FFFFFF" focussize="0,0"/>
            <v:stroke color="#FF0000"/>
            <v:imagedata o:title=""/>
            <o:lock v:ext="edit" aspectratio="f"/>
            <v:textpath on="t" fitshape="t" fitpath="t" trim="t" xscale="f" string="昆明市五华区商务和投资促进局" style="font-family:华文中宋;font-size:28pt;v-text-align:center;"/>
            <w10:wrap type="none"/>
            <w10:anchorlock/>
          </v:shape>
        </w:pict>
      </w:r>
    </w:p>
    <w:p>
      <w:pPr>
        <w:pStyle w:val="2"/>
      </w:pPr>
      <w:r>
        <w:rPr>
          <w:rFonts w:ascii="宋体" w:hAnsi="宋体" w:eastAsia="宋体" w:cs="Times New Roman"/>
          <w:b/>
          <w:sz w:val="36"/>
          <w:szCs w:val="36"/>
        </w:rPr>
        <w:pict>
          <v:shape id="_x0000_i1026" o:spt="136" type="#_x0000_t136" style="height:45.05pt;width:412.5pt;" fillcolor="#FF0000" filled="t" stroked="t" coordsize="21600,21600" adj="10800">
            <v:path/>
            <v:fill on="t" color2="#FFFFFF" focussize="0,0"/>
            <v:stroke color="#FF0000"/>
            <v:imagedata o:title=""/>
            <o:lock v:ext="edit" aspectratio="f"/>
            <v:textpath on="t" fitshape="t" fitpath="t" trim="t" xscale="f" string="昆明市五华区发展改革局" style="font-family:华文中宋;font-size:28pt;v-text-align:center;"/>
            <w10:wrap type="none"/>
            <w10:anchorlock/>
          </v:shape>
        </w:pict>
      </w:r>
    </w:p>
    <w:p>
      <w:pPr>
        <w:rPr>
          <w:rFonts w:hint="eastAsia" w:ascii="仿宋_GB2312" w:eastAsia="仿宋_GB2312"/>
          <w:b/>
          <w:bCs/>
          <w:color w:val="000000"/>
          <w:sz w:val="32"/>
          <w:szCs w:val="32"/>
          <w:lang w:val="en-US" w:eastAsia="zh-CN"/>
        </w:rPr>
      </w:pPr>
      <w:r>
        <w:drawing>
          <wp:inline distT="0" distB="0" distL="114300" distR="114300">
            <wp:extent cx="5421630" cy="45085"/>
            <wp:effectExtent l="0" t="0" r="762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421630" cy="45085"/>
                    </a:xfrm>
                    <a:prstGeom prst="rect">
                      <a:avLst/>
                    </a:prstGeom>
                    <a:noFill/>
                    <a:ln>
                      <a:noFill/>
                    </a:ln>
                  </pic:spPr>
                </pic:pic>
              </a:graphicData>
            </a:graphic>
          </wp:inline>
        </w:drawing>
      </w:r>
    </w:p>
    <w:p>
      <w:pPr>
        <w:pageBreakBefore w:val="0"/>
        <w:kinsoku/>
        <w:wordWrap/>
        <w:topLinePunct w:val="0"/>
        <w:autoSpaceDN/>
        <w:bidi w:val="0"/>
        <w:spacing w:line="560" w:lineRule="exact"/>
        <w:jc w:val="right"/>
        <w:rPr>
          <w:rFonts w:ascii="仿宋_GB2312" w:eastAsia="仿宋_GB2312"/>
          <w:color w:val="000000"/>
          <w:sz w:val="32"/>
          <w:szCs w:val="32"/>
        </w:rPr>
      </w:pP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A</w:t>
      </w:r>
      <w:r>
        <w:rPr>
          <w:rFonts w:hint="eastAsia" w:ascii="仿宋_GB2312" w:eastAsia="仿宋_GB2312"/>
          <w:color w:val="000000"/>
          <w:sz w:val="32"/>
          <w:szCs w:val="32"/>
        </w:rPr>
        <w:t>类型</w:t>
      </w:r>
      <w:r>
        <w:rPr>
          <w:rFonts w:hint="eastAsia" w:asci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s="仿宋_GB2312"/>
          <w:color w:val="000000"/>
          <w:sz w:val="32"/>
          <w:szCs w:val="32"/>
        </w:rPr>
        <w:t>〔公开〕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s="仿宋_GB2312"/>
          <w:color w:val="000000"/>
          <w:sz w:val="32"/>
          <w:szCs w:val="32"/>
        </w:rPr>
        <w:t>五</w:t>
      </w:r>
      <w:r>
        <w:rPr>
          <w:rFonts w:hint="eastAsia" w:ascii="仿宋_GB2312" w:eastAsia="仿宋_GB2312"/>
          <w:color w:val="000000"/>
          <w:sz w:val="32"/>
          <w:szCs w:val="32"/>
          <w:lang w:val="en-US" w:eastAsia="zh-CN"/>
        </w:rPr>
        <w:t>商投</w:t>
      </w:r>
      <w:r>
        <w:rPr>
          <w:rFonts w:hint="eastAsia" w:ascii="仿宋_GB2312" w:eastAsia="仿宋_GB2312" w:cs="仿宋_GB2312"/>
          <w:color w:val="000000"/>
          <w:sz w:val="32"/>
          <w:szCs w:val="32"/>
        </w:rPr>
        <w:t>函〔</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〕号</w:t>
      </w:r>
    </w:p>
    <w:p>
      <w:pPr>
        <w:pageBreakBefore w:val="0"/>
        <w:widowControl/>
        <w:tabs>
          <w:tab w:val="center" w:pos="4535"/>
        </w:tabs>
        <w:kinsoku/>
        <w:wordWrap/>
        <w:topLinePunct w:val="0"/>
        <w:autoSpaceDN/>
        <w:bidi w:val="0"/>
        <w:spacing w:line="560" w:lineRule="exact"/>
        <w:rPr>
          <w:rFonts w:ascii="仿宋_GB2312" w:hAnsi="仿宋_GB2312" w:eastAsia="仿宋_GB2312" w:cs="Times New Roman"/>
          <w:b/>
          <w:color w:val="000000" w:themeColor="text1"/>
          <w:kern w:val="0"/>
          <w:sz w:val="32"/>
          <w:szCs w:val="32"/>
          <w14:textFill>
            <w14:solidFill>
              <w14:schemeClr w14:val="tx1"/>
            </w14:solidFill>
          </w14:textFill>
        </w:rPr>
      </w:pPr>
      <w:r>
        <w:rPr>
          <w:rFonts w:ascii="仿宋_GB2312" w:hAnsi="仿宋_GB2312" w:eastAsia="仿宋_GB2312" w:cs="Times New Roman"/>
          <w:b/>
          <w:color w:val="000000" w:themeColor="text1"/>
          <w:kern w:val="0"/>
          <w:sz w:val="32"/>
          <w:szCs w:val="32"/>
          <w14:textFill>
            <w14:solidFill>
              <w14:schemeClr w14:val="tx1"/>
            </w14:solidFill>
          </w14:textFill>
        </w:rPr>
        <w:t xml:space="preserve"> </w:t>
      </w:r>
    </w:p>
    <w:p>
      <w:pPr>
        <w:pageBreakBefore w:val="0"/>
        <w:widowControl/>
        <w:kinsoku/>
        <w:wordWrap/>
        <w:topLinePunct w:val="0"/>
        <w:autoSpaceDN/>
        <w:bidi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b w:val="0"/>
          <w:bCs/>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kern w:val="0"/>
          <w:sz w:val="44"/>
          <w:szCs w:val="44"/>
          <w14:textFill>
            <w14:solidFill>
              <w14:schemeClr w14:val="tx1"/>
            </w14:solidFill>
          </w14:textFill>
        </w:rPr>
        <w:t>关于对政协五华区九届</w:t>
      </w:r>
      <w:r>
        <w:rPr>
          <w:rFonts w:hint="eastAsia" w:ascii="方正小标宋_GBK" w:hAnsi="方正小标宋_GBK" w:eastAsia="方正小标宋_GBK" w:cs="方正小标宋_GBK"/>
          <w:b w:val="0"/>
          <w:bCs/>
          <w:color w:val="000000" w:themeColor="text1"/>
          <w:kern w:val="0"/>
          <w:sz w:val="44"/>
          <w:szCs w:val="44"/>
          <w:lang w:val="en-US" w:eastAsia="zh-CN"/>
          <w14:textFill>
            <w14:solidFill>
              <w14:schemeClr w14:val="tx1"/>
            </w14:solidFill>
          </w14:textFill>
        </w:rPr>
        <w:t>四</w:t>
      </w:r>
      <w:r>
        <w:rPr>
          <w:rFonts w:hint="eastAsia" w:ascii="方正小标宋_GBK" w:hAnsi="方正小标宋_GBK" w:eastAsia="方正小标宋_GBK" w:cs="方正小标宋_GBK"/>
          <w:b w:val="0"/>
          <w:bCs/>
          <w:color w:val="000000" w:themeColor="text1"/>
          <w:kern w:val="0"/>
          <w:sz w:val="44"/>
          <w:szCs w:val="44"/>
          <w14:textFill>
            <w14:solidFill>
              <w14:schemeClr w14:val="tx1"/>
            </w14:solidFill>
          </w14:textFill>
        </w:rPr>
        <w:t>次会议</w:t>
      </w:r>
    </w:p>
    <w:p>
      <w:pPr>
        <w:pageBreakBefore w:val="0"/>
        <w:widowControl/>
        <w:kinsoku/>
        <w:wordWrap/>
        <w:topLinePunct w:val="0"/>
        <w:autoSpaceDN/>
        <w:bidi w:val="0"/>
        <w:snapToGrid w:val="0"/>
        <w:spacing w:line="560" w:lineRule="exact"/>
        <w:ind w:left="0" w:leftChars="0" w:firstLine="0" w:firstLineChars="0"/>
        <w:jc w:val="center"/>
        <w:textAlignment w:val="baseline"/>
        <w:rPr>
          <w:rFonts w:ascii="宋体" w:hAnsi="宋体" w:eastAsia="宋体" w:cs="Times New Roman"/>
          <w:b/>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kern w:val="0"/>
          <w:sz w:val="44"/>
          <w:szCs w:val="44"/>
          <w14:textFill>
            <w14:solidFill>
              <w14:schemeClr w14:val="tx1"/>
            </w14:solidFill>
          </w14:textFill>
        </w:rPr>
        <w:t>第20A</w:t>
      </w:r>
      <w:r>
        <w:rPr>
          <w:rFonts w:hint="eastAsia" w:ascii="方正小标宋_GBK" w:hAnsi="方正小标宋_GBK" w:eastAsia="方正小标宋_GBK" w:cs="方正小标宋_GBK"/>
          <w:b w:val="0"/>
          <w:bCs/>
          <w:color w:val="000000" w:themeColor="text1"/>
          <w:kern w:val="0"/>
          <w:sz w:val="44"/>
          <w:szCs w:val="44"/>
          <w:lang w:val="en-US" w:eastAsia="zh-CN"/>
          <w14:textFill>
            <w14:solidFill>
              <w14:schemeClr w14:val="tx1"/>
            </w14:solidFill>
          </w14:textFill>
        </w:rPr>
        <w:t>06</w:t>
      </w:r>
      <w:r>
        <w:rPr>
          <w:rFonts w:hint="eastAsia" w:ascii="方正小标宋_GBK" w:hAnsi="方正小标宋_GBK" w:eastAsia="方正小标宋_GBK" w:cs="方正小标宋_GBK"/>
          <w:b w:val="0"/>
          <w:bCs/>
          <w:color w:val="000000" w:themeColor="text1"/>
          <w:kern w:val="0"/>
          <w:sz w:val="44"/>
          <w:szCs w:val="44"/>
          <w14:textFill>
            <w14:solidFill>
              <w14:schemeClr w14:val="tx1"/>
            </w14:solidFill>
          </w14:textFill>
        </w:rPr>
        <w:t>号提案的答复</w:t>
      </w:r>
    </w:p>
    <w:p>
      <w:pPr>
        <w:pageBreakBefore w:val="0"/>
        <w:widowControl/>
        <w:kinsoku/>
        <w:wordWrap/>
        <w:topLinePunct w:val="0"/>
        <w:autoSpaceDN/>
        <w:bidi w:val="0"/>
        <w:spacing w:line="560" w:lineRule="exact"/>
        <w:rPr>
          <w:rFonts w:ascii="仿宋_GB2312" w:hAnsi="仿宋_GB2312" w:eastAsia="仿宋_GB2312" w:cs="Times New Roman"/>
          <w:b/>
          <w:color w:val="000000" w:themeColor="text1"/>
          <w:kern w:val="0"/>
          <w:sz w:val="32"/>
          <w:szCs w:val="32"/>
          <w:shd w:val="clear" w:color="000000" w:fill="FFFFFF"/>
          <w14:textFill>
            <w14:solidFill>
              <w14:schemeClr w14:val="tx1"/>
            </w14:solidFill>
          </w14:textFill>
        </w:rPr>
      </w:pPr>
    </w:p>
    <w:p>
      <w:pPr>
        <w:pageBreakBefore w:val="0"/>
        <w:widowControl w:val="0"/>
        <w:kinsoku/>
        <w:wordWrap/>
        <w:topLinePunct w:val="0"/>
        <w:autoSpaceDE/>
        <w:autoSpaceDN/>
        <w:bidi w:val="0"/>
        <w:adjustRightInd/>
        <w:snapToGrid/>
        <w:spacing w:before="0" w:after="0" w:line="560" w:lineRule="exact"/>
        <w:ind w:left="0" w:firstLine="0"/>
        <w:jc w:val="both"/>
        <w:textAlignment w:val="auto"/>
        <w:rPr>
          <w:rFonts w:hint="eastAsia" w:ascii="仿宋_GB2312" w:hAnsi="仿宋_GB2312" w:eastAsia="仿宋_GB2312" w:cs="仿宋_GB2312"/>
          <w:b/>
          <w:w w:val="100"/>
          <w:sz w:val="32"/>
          <w:szCs w:val="32"/>
        </w:rPr>
      </w:pPr>
      <w:r>
        <w:rPr>
          <w:rFonts w:hint="eastAsia" w:ascii="仿宋_GB2312" w:hAnsi="仿宋_GB2312" w:eastAsia="仿宋_GB2312" w:cs="仿宋_GB2312"/>
          <w:w w:val="100"/>
          <w:sz w:val="32"/>
          <w:szCs w:val="32"/>
        </w:rPr>
        <w:t>民建五华基层委：</w:t>
      </w:r>
    </w:p>
    <w:p>
      <w:pPr>
        <w:pageBreakBefore w:val="0"/>
        <w:widowControl w:val="0"/>
        <w:kinsoku/>
        <w:wordWrap/>
        <w:topLinePunct w:val="0"/>
        <w:autoSpaceDE/>
        <w:autoSpaceDN/>
        <w:bidi w:val="0"/>
        <w:adjustRightInd/>
        <w:snapToGrid/>
        <w:spacing w:before="0" w:after="0" w:line="560" w:lineRule="exact"/>
        <w:ind w:left="0" w:leftChars="0" w:firstLine="640" w:firstLineChars="200"/>
        <w:jc w:val="both"/>
        <w:textAlignment w:val="auto"/>
        <w:rPr>
          <w:rFonts w:hint="eastAsia" w:ascii="仿宋_GB2312" w:hAnsi="仿宋_GB2312" w:eastAsia="仿宋_GB2312" w:cs="仿宋_GB2312"/>
          <w:b w:val="0"/>
          <w:w w:val="100"/>
          <w:sz w:val="32"/>
          <w:szCs w:val="32"/>
        </w:rPr>
      </w:pPr>
      <w:r>
        <w:rPr>
          <w:rFonts w:hint="eastAsia" w:ascii="仿宋_GB2312" w:hAnsi="仿宋_GB2312" w:eastAsia="仿宋_GB2312" w:cs="仿宋_GB2312"/>
          <w:b w:val="0"/>
          <w:w w:val="100"/>
          <w:sz w:val="32"/>
          <w:szCs w:val="32"/>
        </w:rPr>
        <w:t>贵单位提出的《关于大力发展服务业促进就业，把五华打造投资热土的建议》的集体提案交由我局主办。我局高度重视，积极组织区发改局、区统计局等相关单位认真研究，现答复如下：</w:t>
      </w:r>
    </w:p>
    <w:p>
      <w:pPr>
        <w:pageBreakBefore w:val="0"/>
        <w:widowControl w:val="0"/>
        <w:kinsoku/>
        <w:wordWrap/>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w w:val="100"/>
          <w:sz w:val="32"/>
          <w:szCs w:val="32"/>
        </w:rPr>
        <w:t>服务业是构建省会城市核心区的主要产业形态，抢占服务业发展高地是提高都市型经济核心竞争力的有效着力点。为贯彻落实中央、省、市关于加快服务业发展的要求和部署，促进五华区服务经济转型升级创新发展，增强消费对经济发展的基础性作用，五华区结合区情实际，确定了五华区服务经济转型升级创新发展三年（2018-2020）行动方案和研究提出五华区加快发展生产性服务业三年行动方案（2019-2021年），以提高发展质量和效益为中心，紧扣区域性国际中心城市建设，推动区域经济由工业主导向工业与服务业双主导升级，提高生产要素集聚能力、创新能力、组织管理能力和对周边的辐射能力，充分释放服务业发展和开放的潜力。服务业提升对全区经济社会发展的支撑作用明显增强，服务业增加值及增长比例持续向好，增加值增速快于GDP增速，2018年服务业增加值实现138.46亿元，增长15.8%，占GDP比重达到48.7%。</w:t>
      </w:r>
      <w:r>
        <w:rPr>
          <w:rFonts w:hint="eastAsia" w:ascii="仿宋_GB2312" w:hAnsi="仿宋_GB2312" w:eastAsia="仿宋_GB2312" w:cs="仿宋_GB2312"/>
          <w:color w:val="auto"/>
          <w:w w:val="100"/>
          <w:sz w:val="32"/>
          <w:szCs w:val="32"/>
        </w:rPr>
        <w:t>2019年服务业增加值实现</w:t>
      </w:r>
      <w:r>
        <w:rPr>
          <w:rFonts w:hint="eastAsia" w:ascii="仿宋_GB2312" w:hAnsi="仿宋_GB2312" w:eastAsia="仿宋_GB2312" w:cs="仿宋_GB2312"/>
          <w:color w:val="auto"/>
          <w:w w:val="100"/>
          <w:sz w:val="32"/>
          <w:szCs w:val="32"/>
          <w:lang w:val="en-US" w:eastAsia="zh-CN"/>
        </w:rPr>
        <w:t>711.9</w:t>
      </w:r>
      <w:r>
        <w:rPr>
          <w:rFonts w:hint="eastAsia" w:ascii="仿宋_GB2312" w:hAnsi="仿宋_GB2312" w:eastAsia="仿宋_GB2312" w:cs="仿宋_GB2312"/>
          <w:color w:val="auto"/>
          <w:w w:val="100"/>
          <w:sz w:val="32"/>
          <w:szCs w:val="32"/>
        </w:rPr>
        <w:t>亿元，增长</w:t>
      </w:r>
      <w:r>
        <w:rPr>
          <w:rFonts w:hint="eastAsia" w:ascii="仿宋_GB2312" w:hAnsi="仿宋_GB2312" w:eastAsia="仿宋_GB2312" w:cs="仿宋_GB2312"/>
          <w:color w:val="auto"/>
          <w:w w:val="100"/>
          <w:sz w:val="32"/>
          <w:szCs w:val="32"/>
          <w:lang w:val="en-US" w:eastAsia="zh-CN"/>
        </w:rPr>
        <w:t>6.5</w:t>
      </w:r>
      <w:r>
        <w:rPr>
          <w:rFonts w:hint="eastAsia" w:ascii="仿宋_GB2312" w:hAnsi="仿宋_GB2312" w:eastAsia="仿宋_GB2312" w:cs="仿宋_GB2312"/>
          <w:color w:val="auto"/>
          <w:w w:val="100"/>
          <w:sz w:val="32"/>
          <w:szCs w:val="32"/>
        </w:rPr>
        <w:t>%，占GDP比重达到</w:t>
      </w:r>
      <w:r>
        <w:rPr>
          <w:rFonts w:hint="eastAsia" w:ascii="仿宋_GB2312" w:hAnsi="仿宋_GB2312" w:eastAsia="仿宋_GB2312" w:cs="仿宋_GB2312"/>
          <w:color w:val="auto"/>
          <w:w w:val="100"/>
          <w:sz w:val="32"/>
          <w:szCs w:val="32"/>
          <w:lang w:val="en-US" w:eastAsia="zh-CN"/>
        </w:rPr>
        <w:t>59.5</w:t>
      </w:r>
      <w:r>
        <w:rPr>
          <w:rFonts w:hint="eastAsia" w:ascii="仿宋_GB2312" w:hAnsi="仿宋_GB2312" w:eastAsia="仿宋_GB2312" w:cs="仿宋_GB2312"/>
          <w:color w:val="auto"/>
          <w:w w:val="100"/>
          <w:sz w:val="32"/>
          <w:szCs w:val="32"/>
        </w:rPr>
        <w:t>%。</w:t>
      </w:r>
    </w:p>
    <w:p>
      <w:pPr>
        <w:pageBreakBefore w:val="0"/>
        <w:widowControl w:val="0"/>
        <w:kinsoku/>
        <w:wordWrap/>
        <w:topLinePunct w:val="0"/>
        <w:autoSpaceDE/>
        <w:autoSpaceDN/>
        <w:bidi w:val="0"/>
        <w:adjustRightInd/>
        <w:spacing w:line="560" w:lineRule="exact"/>
        <w:ind w:left="0" w:leftChars="0" w:firstLine="640" w:firstLineChars="200"/>
        <w:jc w:val="both"/>
        <w:textAlignment w:val="auto"/>
        <w:rPr>
          <w:rFonts w:hint="eastAsia" w:ascii="黑体" w:hAnsi="黑体" w:eastAsia="黑体" w:cs="黑体"/>
          <w:b w:val="0"/>
          <w:bCs/>
          <w:w w:val="100"/>
          <w:sz w:val="32"/>
          <w:szCs w:val="32"/>
        </w:rPr>
      </w:pPr>
      <w:bookmarkStart w:id="0" w:name="_Toc4273_WPSOffice_Level1"/>
      <w:r>
        <w:rPr>
          <w:rFonts w:hint="eastAsia" w:ascii="黑体" w:hAnsi="黑体" w:eastAsia="黑体" w:cs="黑体"/>
          <w:b w:val="0"/>
          <w:bCs/>
          <w:w w:val="100"/>
          <w:sz w:val="32"/>
          <w:szCs w:val="32"/>
        </w:rPr>
        <w:t>一、主要工作开展情况</w:t>
      </w:r>
      <w:bookmarkEnd w:id="0"/>
    </w:p>
    <w:p>
      <w:pPr>
        <w:pageBreakBefore w:val="0"/>
        <w:widowControl w:val="0"/>
        <w:kinsoku/>
        <w:wordWrap/>
        <w:topLinePunct w:val="0"/>
        <w:autoSpaceDE/>
        <w:autoSpaceDN/>
        <w:bidi w:val="0"/>
        <w:adjustRightInd/>
        <w:spacing w:line="560" w:lineRule="exact"/>
        <w:ind w:firstLine="520"/>
        <w:jc w:val="both"/>
        <w:textAlignment w:val="auto"/>
        <w:rPr>
          <w:rFonts w:hint="eastAsia" w:ascii="仿宋_GB2312" w:hAnsi="仿宋_GB2312" w:eastAsia="仿宋_GB2312" w:cs="仿宋_GB2312"/>
          <w:b/>
          <w:w w:val="100"/>
          <w:sz w:val="32"/>
          <w:szCs w:val="32"/>
        </w:rPr>
      </w:pPr>
      <w:r>
        <w:rPr>
          <w:rFonts w:hint="eastAsia" w:ascii="仿宋_GB2312" w:hAnsi="仿宋_GB2312" w:eastAsia="仿宋_GB2312" w:cs="仿宋_GB2312"/>
          <w:b/>
          <w:w w:val="100"/>
          <w:sz w:val="32"/>
          <w:szCs w:val="32"/>
        </w:rPr>
        <w:t>（一）重规划，高点站位拓格局</w:t>
      </w:r>
    </w:p>
    <w:p>
      <w:pPr>
        <w:pageBreakBefore w:val="0"/>
        <w:widowControl w:val="0"/>
        <w:kinsoku/>
        <w:wordWrap/>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随着五华区经济社会发展步入后工业化阶段，转变发展方式，加快发展服务业对五华区建设区域性国际中心城市核心区，提升产业竞争力，提高居民生活质量等具有重要的现实意义。五华区紧扣以现代服务业为重点做强第三产业，重视规划引领作用，制定了《五华区“十三五”服务业发展规划》《五华区服务经济转型升级创新发展三年（2018-2020）行动方案》《五华区加快发展生产性服务业三年行动方案（2019-2021年）》等系列配套政策，为服务业持续发展立柱架梁。</w:t>
      </w:r>
      <w:r>
        <w:rPr>
          <w:rFonts w:hint="eastAsia" w:ascii="仿宋_GB2312" w:hAnsi="仿宋_GB2312" w:eastAsia="仿宋_GB2312" w:cs="仿宋_GB2312"/>
          <w:b/>
          <w:w w:val="100"/>
          <w:sz w:val="32"/>
          <w:szCs w:val="32"/>
        </w:rPr>
        <w:t>一是高起点谋划发展目标。</w:t>
      </w:r>
      <w:r>
        <w:rPr>
          <w:rFonts w:hint="eastAsia" w:ascii="仿宋_GB2312" w:hAnsi="仿宋_GB2312" w:eastAsia="仿宋_GB2312" w:cs="仿宋_GB2312"/>
          <w:w w:val="100"/>
          <w:sz w:val="32"/>
          <w:szCs w:val="32"/>
        </w:rPr>
        <w:t>将服务业定位为五华区主导产业，坚持生产性服务业与生活性服务业并重、现代服务业与传统服务业并举、空间布局和产业辐射相协调，推动经济发展方式转变，调整优化产业结构，促进经济提质增效。根据区域资源禀赋、产业基础及特色优势，深入实施“强三、优二、精一”战略，明确到2020年，实现服务业增加值700亿元，三次产业结构调整为0.2：49.8：50的发展目标。</w:t>
      </w:r>
      <w:r>
        <w:rPr>
          <w:rFonts w:hint="eastAsia" w:ascii="仿宋_GB2312" w:hAnsi="仿宋_GB2312" w:eastAsia="仿宋_GB2312" w:cs="仿宋_GB2312"/>
          <w:b/>
          <w:w w:val="100"/>
          <w:sz w:val="32"/>
          <w:szCs w:val="32"/>
        </w:rPr>
        <w:t>二是高标准定位发展格局。</w:t>
      </w:r>
      <w:r>
        <w:rPr>
          <w:rFonts w:hint="eastAsia" w:ascii="仿宋_GB2312" w:hAnsi="仿宋_GB2312" w:eastAsia="仿宋_GB2312" w:cs="仿宋_GB2312"/>
          <w:w w:val="100"/>
          <w:sz w:val="32"/>
          <w:szCs w:val="32"/>
        </w:rPr>
        <w:t>明确服务业在空间上的布局和重点，以中央商务核心区为核心，依托人民路地铁带和龙泉路商贸商务带辐射形成王家桥片区、红云片区两个副中心，积极培育西翥片区，重点发展商务服务、金融服务、信息与科技服务、教育服务、文化创意、旅游休闲、健康服务、流通服务、房地产等九大产业，构建特色鲜明、分工合理、互为融合的“一核两副九产业”的服务业发展新格局。</w:t>
      </w:r>
      <w:r>
        <w:rPr>
          <w:rFonts w:hint="eastAsia" w:ascii="仿宋_GB2312" w:hAnsi="仿宋_GB2312" w:eastAsia="仿宋_GB2312" w:cs="仿宋_GB2312"/>
          <w:b/>
          <w:w w:val="100"/>
          <w:sz w:val="32"/>
          <w:szCs w:val="32"/>
        </w:rPr>
        <w:t>三是高品质推进重点行业。</w:t>
      </w:r>
      <w:r>
        <w:rPr>
          <w:rFonts w:hint="eastAsia" w:ascii="仿宋_GB2312" w:hAnsi="仿宋_GB2312" w:eastAsia="仿宋_GB2312" w:cs="仿宋_GB2312"/>
          <w:w w:val="100"/>
          <w:sz w:val="32"/>
          <w:szCs w:val="32"/>
        </w:rPr>
        <w:t>围绕提升传统产业、培育新兴产业、壮大主导产业，五华区重点提升九大产业，确保实现服务业攻坚目标。特别是针对生产性服务业，实施五华区“35511”生产性服务业培育提升计划，力争在产业培育、产业转型、载体建设、产业招商方面实现“四个突破”，全力提升我区生产性服务业整体功能、集聚效应和能级水平。</w:t>
      </w:r>
      <w:r>
        <w:rPr>
          <w:rFonts w:hint="eastAsia" w:ascii="仿宋_GB2312" w:hAnsi="仿宋_GB2312" w:eastAsia="仿宋_GB2312" w:cs="仿宋_GB2312"/>
          <w:b/>
          <w:w w:val="100"/>
          <w:sz w:val="32"/>
          <w:szCs w:val="32"/>
        </w:rPr>
        <w:t>提升商贸服务业。</w:t>
      </w:r>
      <w:r>
        <w:rPr>
          <w:rFonts w:hint="eastAsia" w:ascii="仿宋_GB2312" w:hAnsi="仿宋_GB2312" w:eastAsia="仿宋_GB2312" w:cs="仿宋_GB2312"/>
          <w:w w:val="100"/>
          <w:sz w:val="32"/>
          <w:szCs w:val="32"/>
        </w:rPr>
        <w:t>增强消费对经济发展的基础性作用，促进实物消费提挡升级、服务消费提质扩容。加快翠湖片区整治提升，以文明街、南强街等历史街区的修缮和开街为契机，促进传统文化传承与现代休闲消费深度融合。</w:t>
      </w:r>
      <w:r>
        <w:rPr>
          <w:rFonts w:hint="eastAsia" w:ascii="仿宋_GB2312" w:hAnsi="仿宋_GB2312" w:eastAsia="仿宋_GB2312" w:cs="仿宋_GB2312"/>
          <w:b/>
          <w:w w:val="100"/>
          <w:sz w:val="32"/>
          <w:szCs w:val="32"/>
        </w:rPr>
        <w:t>发展流通服务业。</w:t>
      </w:r>
      <w:r>
        <w:rPr>
          <w:rFonts w:hint="eastAsia" w:ascii="仿宋_GB2312" w:hAnsi="仿宋_GB2312" w:eastAsia="仿宋_GB2312" w:cs="仿宋_GB2312"/>
          <w:w w:val="100"/>
          <w:sz w:val="32"/>
          <w:szCs w:val="32"/>
        </w:rPr>
        <w:t>顺应电子商务等现代流通业发展需求和昆明城市西北方向配送发展趋势，培育和引进“菜鸟网”等物流配送企业及“九机网”等电子商务企业，打造区域性现代流通及配送中心。扎实推进云南高原特色农产品交易中心、西翥物流园区建设，促进产业基地和物流基地协同发展。</w:t>
      </w:r>
      <w:r>
        <w:rPr>
          <w:rFonts w:hint="eastAsia" w:ascii="仿宋_GB2312" w:hAnsi="仿宋_GB2312" w:eastAsia="仿宋_GB2312" w:cs="仿宋_GB2312"/>
          <w:b/>
          <w:w w:val="100"/>
          <w:sz w:val="32"/>
          <w:szCs w:val="32"/>
        </w:rPr>
        <w:t>提升金融服务业。</w:t>
      </w:r>
      <w:r>
        <w:rPr>
          <w:rFonts w:hint="eastAsia" w:ascii="仿宋_GB2312" w:hAnsi="仿宋_GB2312" w:eastAsia="仿宋_GB2312" w:cs="仿宋_GB2312"/>
          <w:w w:val="100"/>
          <w:sz w:val="32"/>
          <w:szCs w:val="32"/>
        </w:rPr>
        <w:t>充分发挥东方柏丰首座现代金融服务业聚集优势，强化与昆明金融产业园区联动，提升和巩固五华区作为昆明市传统金融决策中心、管理中心、信息中心和服务中心地位，构建“金融+电商、商贸、旅游、医疗等”的新型业态。</w:t>
      </w:r>
      <w:r>
        <w:rPr>
          <w:rFonts w:hint="eastAsia" w:ascii="仿宋_GB2312" w:hAnsi="仿宋_GB2312" w:eastAsia="仿宋_GB2312" w:cs="仿宋_GB2312"/>
          <w:b/>
          <w:w w:val="100"/>
          <w:sz w:val="32"/>
          <w:szCs w:val="32"/>
        </w:rPr>
        <w:t>提升旅游休闲业。</w:t>
      </w:r>
      <w:r>
        <w:rPr>
          <w:rFonts w:hint="eastAsia" w:ascii="仿宋_GB2312" w:hAnsi="仿宋_GB2312" w:eastAsia="仿宋_GB2312" w:cs="仿宋_GB2312"/>
          <w:w w:val="100"/>
          <w:sz w:val="32"/>
          <w:szCs w:val="32"/>
        </w:rPr>
        <w:t>加快旅游供给侧结构性改革，提高旅游基础设施供给水平，提升传统旅游产品质量，推动旅游、健康、养老、体育等融合发展。</w:t>
      </w:r>
      <w:r>
        <w:rPr>
          <w:rFonts w:hint="eastAsia" w:ascii="仿宋_GB2312" w:hAnsi="仿宋_GB2312" w:eastAsia="仿宋_GB2312" w:cs="仿宋_GB2312"/>
          <w:b/>
          <w:w w:val="100"/>
          <w:sz w:val="32"/>
          <w:szCs w:val="32"/>
        </w:rPr>
        <w:t>提升文化创意产业。</w:t>
      </w:r>
      <w:r>
        <w:rPr>
          <w:rFonts w:hint="eastAsia" w:ascii="仿宋_GB2312" w:hAnsi="仿宋_GB2312" w:eastAsia="仿宋_GB2312" w:cs="仿宋_GB2312"/>
          <w:w w:val="100"/>
          <w:sz w:val="32"/>
          <w:szCs w:val="32"/>
        </w:rPr>
        <w:t>依托金鼎片区开发、提升，发展以广告产业为核心，加快推动和完善一站式服务中心、广告要素交易平台、广告文化新媒体演示综合中心、广告研发设计制作平台、智慧网络平台、园区企业市场推广服务平台等公共服务体系建设。加快美特铸造、氧气厂等金鼎片区老旧厂房功能转型，引入云南拾翠等文化企业，着力打造文创新平台。</w:t>
      </w:r>
      <w:r>
        <w:rPr>
          <w:rFonts w:hint="eastAsia" w:ascii="仿宋_GB2312" w:hAnsi="仿宋_GB2312" w:eastAsia="仿宋_GB2312" w:cs="仿宋_GB2312"/>
          <w:b/>
          <w:w w:val="100"/>
          <w:sz w:val="32"/>
          <w:szCs w:val="32"/>
        </w:rPr>
        <w:t>提升信息与科技服务业。</w:t>
      </w:r>
      <w:r>
        <w:rPr>
          <w:rFonts w:hint="eastAsia" w:ascii="仿宋_GB2312" w:hAnsi="仿宋_GB2312" w:eastAsia="仿宋_GB2312" w:cs="仿宋_GB2312"/>
          <w:w w:val="100"/>
          <w:sz w:val="32"/>
          <w:szCs w:val="32"/>
        </w:rPr>
        <w:t>抓住省、市建设“云上云”信息产业核心区的重大机遇，加快实施智慧城市建设，拓展信息消费新产品、新业态、新模式。</w:t>
      </w:r>
      <w:r>
        <w:rPr>
          <w:rFonts w:hint="eastAsia" w:ascii="仿宋_GB2312" w:hAnsi="仿宋_GB2312" w:eastAsia="仿宋_GB2312" w:cs="仿宋_GB2312"/>
          <w:b/>
          <w:w w:val="100"/>
          <w:sz w:val="32"/>
          <w:szCs w:val="32"/>
        </w:rPr>
        <w:t>提升房地产业。</w:t>
      </w:r>
      <w:r>
        <w:rPr>
          <w:rFonts w:hint="eastAsia" w:ascii="仿宋_GB2312" w:hAnsi="仿宋_GB2312" w:eastAsia="仿宋_GB2312" w:cs="仿宋_GB2312"/>
          <w:w w:val="100"/>
          <w:sz w:val="32"/>
          <w:szCs w:val="32"/>
        </w:rPr>
        <w:t>提速“三旧”改造，加快连片开发，按照《五华区城市更新改造及土地整理暂行办法》，加速推进五华区城市更新改造项目，将土地存量转化为经济增量。</w:t>
      </w:r>
      <w:r>
        <w:rPr>
          <w:rFonts w:hint="eastAsia" w:ascii="仿宋_GB2312" w:hAnsi="仿宋_GB2312" w:eastAsia="仿宋_GB2312" w:cs="仿宋_GB2312"/>
          <w:b/>
          <w:w w:val="100"/>
          <w:sz w:val="32"/>
          <w:szCs w:val="32"/>
        </w:rPr>
        <w:t>提升健康服务业。</w:t>
      </w:r>
      <w:r>
        <w:rPr>
          <w:rFonts w:hint="eastAsia" w:ascii="仿宋_GB2312" w:hAnsi="仿宋_GB2312" w:eastAsia="仿宋_GB2312" w:cs="仿宋_GB2312"/>
          <w:w w:val="100"/>
          <w:sz w:val="32"/>
          <w:szCs w:val="32"/>
        </w:rPr>
        <w:t>围绕昆明市重点培育和打造的“医、药、养、健、食、游”六大产业，重点在“二圈层”王家桥片区依托阜外医院等优质医疗资源，强化心血管等医养产业发展；在“三圈层”西翥片区依托西翥生态旅游资源，发展康养旅游等大健康及配套产业，打造昆明大健康产业示范区国际健康中心和康养中心。</w:t>
      </w:r>
      <w:r>
        <w:rPr>
          <w:rFonts w:hint="eastAsia" w:ascii="仿宋_GB2312" w:hAnsi="仿宋_GB2312" w:eastAsia="仿宋_GB2312" w:cs="仿宋_GB2312"/>
          <w:b/>
          <w:w w:val="100"/>
          <w:sz w:val="32"/>
          <w:szCs w:val="32"/>
        </w:rPr>
        <w:t>培育教育服务业。</w:t>
      </w:r>
      <w:r>
        <w:rPr>
          <w:rFonts w:hint="eastAsia" w:ascii="仿宋_GB2312" w:hAnsi="仿宋_GB2312" w:eastAsia="仿宋_GB2312" w:cs="仿宋_GB2312"/>
          <w:w w:val="100"/>
          <w:sz w:val="32"/>
          <w:szCs w:val="32"/>
        </w:rPr>
        <w:t>发挥五华区教育、科研、人才资源优势，结合产业特点与市场需求，整合区内各类教育培训资源，将优质教育培训资源转化为产业优势和经济优势，促进社会教育培训产业健康快速发展。</w:t>
      </w:r>
    </w:p>
    <w:p>
      <w:pPr>
        <w:pageBreakBefore w:val="0"/>
        <w:widowControl w:val="0"/>
        <w:kinsoku/>
        <w:wordWrap/>
        <w:topLinePunct w:val="0"/>
        <w:autoSpaceDE/>
        <w:autoSpaceDN/>
        <w:bidi w:val="0"/>
        <w:adjustRightInd/>
        <w:spacing w:line="560" w:lineRule="exact"/>
        <w:ind w:firstLine="520"/>
        <w:jc w:val="both"/>
        <w:textAlignment w:val="auto"/>
        <w:rPr>
          <w:rFonts w:hint="eastAsia" w:ascii="仿宋_GB2312" w:hAnsi="仿宋_GB2312" w:eastAsia="仿宋_GB2312" w:cs="仿宋_GB2312"/>
          <w:b/>
          <w:w w:val="100"/>
          <w:sz w:val="32"/>
          <w:szCs w:val="32"/>
        </w:rPr>
      </w:pPr>
      <w:r>
        <w:rPr>
          <w:rFonts w:hint="eastAsia" w:ascii="仿宋_GB2312" w:hAnsi="仿宋_GB2312" w:eastAsia="仿宋_GB2312" w:cs="仿宋_GB2312"/>
          <w:b/>
          <w:w w:val="100"/>
          <w:sz w:val="32"/>
          <w:szCs w:val="32"/>
        </w:rPr>
        <w:t>（二）重激励，扶持创新筑洼地</w:t>
      </w:r>
    </w:p>
    <w:p>
      <w:pPr>
        <w:pageBreakBefore w:val="0"/>
        <w:widowControl w:val="0"/>
        <w:kinsoku/>
        <w:wordWrap/>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印发了《推动五华区经济持续健康快速发展的56条政策措施》，各部门集中推出支持服务业发展的办法。</w:t>
      </w:r>
      <w:r>
        <w:rPr>
          <w:rFonts w:hint="eastAsia" w:ascii="仿宋_GB2312" w:hAnsi="仿宋_GB2312" w:eastAsia="仿宋_GB2312" w:cs="仿宋_GB2312"/>
          <w:b/>
          <w:w w:val="100"/>
          <w:sz w:val="32"/>
          <w:szCs w:val="32"/>
        </w:rPr>
        <w:t>一是推进生产性服务业创新升级。</w:t>
      </w:r>
      <w:r>
        <w:rPr>
          <w:rFonts w:hint="eastAsia" w:ascii="仿宋_GB2312" w:hAnsi="仿宋_GB2312" w:eastAsia="仿宋_GB2312" w:cs="仿宋_GB2312"/>
          <w:w w:val="100"/>
          <w:sz w:val="32"/>
          <w:szCs w:val="32"/>
        </w:rPr>
        <w:t>全力发展数字经济，抢抓数字经济“风口”，促进数字经济和实体经济融合发展，对增长较快的互联网、软件和相关服务业法人企业进行奖励；贯彻落实五华区企业发展扶优扶强办法，按照区域经济发展贡献度分别对省级、市级、区级金融服务机构给予相应补助；支持软件信息、科技研发、仓储物流、文化创意等生产性服务业升规入统、提档升级。对本年新开业或新迁入并达规入统服务业企业、年度规下升规入统并实现营业收入增长较快的企业进行奖励。</w:t>
      </w:r>
      <w:r>
        <w:rPr>
          <w:rFonts w:hint="eastAsia" w:ascii="仿宋_GB2312" w:hAnsi="仿宋_GB2312" w:eastAsia="仿宋_GB2312" w:cs="仿宋_GB2312"/>
          <w:b/>
          <w:w w:val="100"/>
          <w:sz w:val="32"/>
          <w:szCs w:val="32"/>
        </w:rPr>
        <w:t>二是促进生活性服务业扩量增质。</w:t>
      </w:r>
      <w:r>
        <w:rPr>
          <w:rFonts w:hint="eastAsia" w:ascii="仿宋_GB2312" w:hAnsi="仿宋_GB2312" w:eastAsia="仿宋_GB2312" w:cs="仿宋_GB2312"/>
          <w:w w:val="100"/>
          <w:sz w:val="32"/>
          <w:szCs w:val="32"/>
        </w:rPr>
        <w:t>提升零售、餐饮、住宿品质，鼓励企业做强做大。对排名靠前且增速较快的零售业、餐饮业、住宿业企业进行奖励；支持商贸总部企业连锁经营发展。对统计在库且税收关系在我区的大型百货、连锁类商贸企业新开门店，门店数量较上年末有新增的进行一次性补贴；丰富五华消费市场，支持辖区企业开展差异化主题定位，增加体验型、服务型业态，培育壮大环翠湖周边、文明街、南强街等一批品牌特色街区，实现商旅文娱融合发展；鼓励市场主体组织促消费活动，依托五华区欢乐购物节平台，组织开展家电“以旧换新”等促销活动，对组织承办活动企业给予奖励。同时，鼓励旅游休闲、文化娱乐、康体保健、养老托幼等其他生活性服务领域发展。</w:t>
      </w:r>
      <w:r>
        <w:rPr>
          <w:rFonts w:hint="eastAsia" w:ascii="仿宋_GB2312" w:hAnsi="仿宋_GB2312" w:eastAsia="仿宋_GB2312" w:cs="仿宋_GB2312"/>
          <w:b/>
          <w:w w:val="100"/>
          <w:sz w:val="32"/>
          <w:szCs w:val="32"/>
        </w:rPr>
        <w:t>三是支持总部楼宇经济发展</w:t>
      </w:r>
      <w:r>
        <w:rPr>
          <w:rFonts w:hint="eastAsia" w:ascii="仿宋_GB2312" w:hAnsi="仿宋_GB2312" w:eastAsia="仿宋_GB2312" w:cs="仿宋_GB2312"/>
          <w:w w:val="100"/>
          <w:sz w:val="32"/>
          <w:szCs w:val="32"/>
        </w:rPr>
        <w:t>。突出产业优势和发展重点，修订《五华区加快总部经济和楼宇经济发展奖励办法》，对新设立或新迁入五华区的总部企业，新认定的总部企业；在主板、创业板和新三板成功挂牌上市的总部企业，给予一次性奖励或在购置、租用办公用房方面给予补助。对纳税千万级、亿元楼宇、“特色楼宇”、“专业楼宇”、实施老旧商务楼宇更新改造以及引入知名物业的物业经营管理企业给予奖励。对区域经济带动大、重大招商引资项目等的总部企业，为企业量身定制项目推进方案和配套必要的政策措施。</w:t>
      </w:r>
      <w:r>
        <w:rPr>
          <w:rFonts w:hint="eastAsia" w:ascii="仿宋_GB2312" w:hAnsi="仿宋_GB2312" w:eastAsia="仿宋_GB2312" w:cs="仿宋_GB2312"/>
          <w:b/>
          <w:w w:val="100"/>
          <w:sz w:val="32"/>
          <w:szCs w:val="32"/>
        </w:rPr>
        <w:t>四是全力推进文化产业发展。</w:t>
      </w:r>
      <w:r>
        <w:rPr>
          <w:rFonts w:hint="eastAsia" w:ascii="仿宋_GB2312" w:hAnsi="仿宋_GB2312" w:eastAsia="仿宋_GB2312" w:cs="仿宋_GB2312"/>
          <w:w w:val="100"/>
          <w:sz w:val="32"/>
          <w:szCs w:val="32"/>
        </w:rPr>
        <w:t>突出传统特色和产业升级方向，制定《五华区文化产业发展扶持奖励暂行办法》《五华区文化产业示范园区、示范基地认定管理暂行办法》等规定，对文化产业示范园区和文化产业示范基地的建设、特色和新兴文化产业项目的各类经营主体及其他文化项目进行扶持，鼓励文化产业企业达规上限和提档升级。同时，在支持民营企业、降低企业经营成本、提升营商环境、鼓励创新创业和加大研发力度等方面，也相应出台了若干政策措施。</w:t>
      </w:r>
    </w:p>
    <w:p>
      <w:pPr>
        <w:pageBreakBefore w:val="0"/>
        <w:widowControl w:val="0"/>
        <w:kinsoku/>
        <w:wordWrap/>
        <w:topLinePunct w:val="0"/>
        <w:autoSpaceDE/>
        <w:autoSpaceDN/>
        <w:bidi w:val="0"/>
        <w:adjustRightInd/>
        <w:spacing w:line="560" w:lineRule="exact"/>
        <w:ind w:left="0" w:leftChars="0" w:firstLine="640" w:firstLineChars="200"/>
        <w:jc w:val="both"/>
        <w:textAlignment w:val="auto"/>
        <w:rPr>
          <w:rFonts w:hint="eastAsia" w:ascii="黑体" w:hAnsi="黑体" w:eastAsia="黑体" w:cs="黑体"/>
          <w:b w:val="0"/>
          <w:bCs/>
          <w:w w:val="100"/>
          <w:sz w:val="32"/>
          <w:szCs w:val="32"/>
        </w:rPr>
      </w:pPr>
      <w:bookmarkStart w:id="1" w:name="_Toc6225_WPSOffice_Level1"/>
      <w:r>
        <w:rPr>
          <w:rFonts w:hint="eastAsia" w:ascii="黑体" w:hAnsi="黑体" w:eastAsia="黑体" w:cs="黑体"/>
          <w:b w:val="0"/>
          <w:bCs/>
          <w:w w:val="100"/>
          <w:sz w:val="32"/>
          <w:szCs w:val="32"/>
        </w:rPr>
        <w:t>二、主要成效</w:t>
      </w:r>
      <w:bookmarkEnd w:id="1"/>
    </w:p>
    <w:p>
      <w:pPr>
        <w:pageBreakBefore w:val="0"/>
        <w:widowControl w:val="0"/>
        <w:kinsoku/>
        <w:wordWrap/>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color w:val="auto"/>
          <w:w w:val="100"/>
          <w:sz w:val="32"/>
          <w:szCs w:val="32"/>
          <w:u w:val="none"/>
        </w:rPr>
      </w:pPr>
      <w:bookmarkStart w:id="2" w:name="_Toc522011752"/>
      <w:r>
        <w:rPr>
          <w:rFonts w:hint="eastAsia" w:ascii="仿宋_GB2312" w:hAnsi="仿宋_GB2312" w:eastAsia="仿宋_GB2312" w:cs="仿宋_GB2312"/>
          <w:b/>
          <w:w w:val="100"/>
          <w:sz w:val="32"/>
          <w:szCs w:val="32"/>
        </w:rPr>
        <w:t>（一）总量规模进一步扩大</w:t>
      </w:r>
      <w:bookmarkEnd w:id="2"/>
      <w:r>
        <w:rPr>
          <w:rFonts w:hint="eastAsia" w:ascii="仿宋_GB2312" w:hAnsi="仿宋_GB2312" w:eastAsia="仿宋_GB2312" w:cs="仿宋_GB2312"/>
          <w:b/>
          <w:w w:val="100"/>
          <w:sz w:val="32"/>
          <w:szCs w:val="32"/>
        </w:rPr>
        <w:t>。</w:t>
      </w:r>
      <w:r>
        <w:rPr>
          <w:rFonts w:hint="eastAsia" w:ascii="仿宋_GB2312" w:hAnsi="仿宋_GB2312" w:eastAsia="仿宋_GB2312" w:cs="仿宋_GB2312"/>
          <w:w w:val="100"/>
          <w:sz w:val="32"/>
          <w:szCs w:val="32"/>
        </w:rPr>
        <w:t>2016年以来，全区服务业增加值及增长比例持续提升，整体态势运行良好，增加值增速快于GDP增速。</w:t>
      </w:r>
      <w:r>
        <w:rPr>
          <w:rFonts w:hint="eastAsia" w:ascii="仿宋_GB2312" w:hAnsi="仿宋_GB2312" w:eastAsia="仿宋_GB2312" w:cs="仿宋_GB2312"/>
          <w:color w:val="auto"/>
          <w:w w:val="100"/>
          <w:sz w:val="32"/>
          <w:szCs w:val="32"/>
          <w:u w:val="none"/>
        </w:rPr>
        <w:t>2016年、2017年、2018、2019年全区服务业增加值分别实现473.86亿元、523.48亿元、</w:t>
      </w:r>
      <w:r>
        <w:rPr>
          <w:rFonts w:hint="eastAsia" w:ascii="仿宋_GB2312" w:hAnsi="仿宋_GB2312" w:eastAsia="仿宋_GB2312" w:cs="仿宋_GB2312"/>
          <w:color w:val="auto"/>
          <w:w w:val="100"/>
          <w:sz w:val="32"/>
          <w:szCs w:val="32"/>
          <w:u w:val="none"/>
          <w:lang w:val="en-US" w:eastAsia="zh-CN"/>
        </w:rPr>
        <w:t>667.9</w:t>
      </w:r>
      <w:r>
        <w:rPr>
          <w:rFonts w:hint="eastAsia" w:ascii="仿宋_GB2312" w:hAnsi="仿宋_GB2312" w:eastAsia="仿宋_GB2312" w:cs="仿宋_GB2312"/>
          <w:color w:val="auto"/>
          <w:w w:val="100"/>
          <w:sz w:val="32"/>
          <w:szCs w:val="32"/>
          <w:u w:val="none"/>
        </w:rPr>
        <w:t>亿元</w:t>
      </w:r>
      <w:r>
        <w:rPr>
          <w:rFonts w:hint="eastAsia" w:ascii="仿宋_GB2312" w:hAnsi="仿宋_GB2312" w:eastAsia="仿宋_GB2312" w:cs="仿宋_GB2312"/>
          <w:color w:val="auto"/>
          <w:w w:val="100"/>
          <w:sz w:val="32"/>
          <w:szCs w:val="32"/>
          <w:u w:val="none"/>
          <w:lang w:eastAsia="zh-CN"/>
        </w:rPr>
        <w:t>、</w:t>
      </w:r>
      <w:r>
        <w:rPr>
          <w:rFonts w:hint="eastAsia" w:ascii="仿宋_GB2312" w:hAnsi="仿宋_GB2312" w:eastAsia="仿宋_GB2312" w:cs="仿宋_GB2312"/>
          <w:color w:val="auto"/>
          <w:w w:val="100"/>
          <w:sz w:val="32"/>
          <w:szCs w:val="32"/>
          <w:u w:val="none"/>
          <w:lang w:val="en-US" w:eastAsia="zh-CN"/>
        </w:rPr>
        <w:t>711.9亿元</w:t>
      </w:r>
      <w:r>
        <w:rPr>
          <w:rFonts w:hint="eastAsia" w:ascii="仿宋_GB2312" w:hAnsi="仿宋_GB2312" w:eastAsia="仿宋_GB2312" w:cs="仿宋_GB2312"/>
          <w:color w:val="auto"/>
          <w:w w:val="100"/>
          <w:sz w:val="32"/>
          <w:szCs w:val="32"/>
          <w:u w:val="none"/>
        </w:rPr>
        <w:t>，分别增长8.5%、10.47%、15.8%，占GDP比重分别为48%、48.4%、</w:t>
      </w:r>
      <w:r>
        <w:rPr>
          <w:rFonts w:hint="eastAsia" w:ascii="仿宋_GB2312" w:hAnsi="仿宋_GB2312" w:eastAsia="仿宋_GB2312" w:cs="仿宋_GB2312"/>
          <w:color w:val="auto"/>
          <w:w w:val="100"/>
          <w:sz w:val="32"/>
          <w:szCs w:val="32"/>
          <w:u w:val="none"/>
          <w:lang w:val="en-US" w:eastAsia="zh-CN"/>
        </w:rPr>
        <w:t>58.8</w:t>
      </w:r>
      <w:r>
        <w:rPr>
          <w:rFonts w:hint="eastAsia" w:ascii="仿宋_GB2312" w:hAnsi="仿宋_GB2312" w:eastAsia="仿宋_GB2312" w:cs="仿宋_GB2312"/>
          <w:color w:val="auto"/>
          <w:w w:val="100"/>
          <w:sz w:val="32"/>
          <w:szCs w:val="32"/>
          <w:u w:val="none"/>
        </w:rPr>
        <w:t>%</w:t>
      </w:r>
      <w:r>
        <w:rPr>
          <w:rFonts w:hint="eastAsia" w:ascii="仿宋_GB2312" w:hAnsi="仿宋_GB2312" w:eastAsia="仿宋_GB2312" w:cs="仿宋_GB2312"/>
          <w:color w:val="auto"/>
          <w:w w:val="100"/>
          <w:sz w:val="32"/>
          <w:szCs w:val="32"/>
          <w:u w:val="none"/>
          <w:lang w:eastAsia="zh-CN"/>
        </w:rPr>
        <w:t>，</w:t>
      </w:r>
      <w:r>
        <w:rPr>
          <w:rFonts w:hint="eastAsia" w:ascii="仿宋_GB2312" w:hAnsi="仿宋_GB2312" w:eastAsia="仿宋_GB2312" w:cs="仿宋_GB2312"/>
          <w:color w:val="auto"/>
          <w:w w:val="100"/>
          <w:sz w:val="32"/>
          <w:szCs w:val="32"/>
          <w:u w:val="none"/>
          <w:lang w:val="en-US" w:eastAsia="zh-CN"/>
        </w:rPr>
        <w:t>59.5%</w:t>
      </w:r>
      <w:r>
        <w:rPr>
          <w:rFonts w:hint="eastAsia" w:ascii="仿宋_GB2312" w:hAnsi="仿宋_GB2312" w:eastAsia="仿宋_GB2312" w:cs="仿宋_GB2312"/>
          <w:color w:val="auto"/>
          <w:w w:val="100"/>
          <w:sz w:val="32"/>
          <w:szCs w:val="32"/>
          <w:u w:val="none"/>
        </w:rPr>
        <w:t>。</w:t>
      </w:r>
    </w:p>
    <w:p>
      <w:pPr>
        <w:pageBreakBefore w:val="0"/>
        <w:widowControl w:val="0"/>
        <w:kinsoku/>
        <w:wordWrap/>
        <w:topLinePunct w:val="0"/>
        <w:autoSpaceDE/>
        <w:autoSpaceDN/>
        <w:bidi w:val="0"/>
        <w:adjustRightInd/>
        <w:spacing w:line="560" w:lineRule="exact"/>
        <w:ind w:firstLine="636" w:firstLineChars="198"/>
        <w:jc w:val="both"/>
        <w:textAlignment w:val="auto"/>
        <w:rPr>
          <w:rFonts w:hint="eastAsia" w:ascii="仿宋_GB2312" w:hAnsi="仿宋_GB2312" w:eastAsia="仿宋_GB2312" w:cs="仿宋_GB2312"/>
          <w:w w:val="100"/>
          <w:sz w:val="32"/>
          <w:szCs w:val="32"/>
        </w:rPr>
      </w:pPr>
      <w:bookmarkStart w:id="3" w:name="_Toc522011753"/>
      <w:r>
        <w:rPr>
          <w:rFonts w:hint="eastAsia" w:ascii="仿宋_GB2312" w:hAnsi="仿宋_GB2312" w:eastAsia="仿宋_GB2312" w:cs="仿宋_GB2312"/>
          <w:b/>
          <w:w w:val="100"/>
          <w:sz w:val="32"/>
          <w:szCs w:val="32"/>
        </w:rPr>
        <w:t>（二）现代商贸进一步提升</w:t>
      </w:r>
      <w:bookmarkEnd w:id="3"/>
      <w:r>
        <w:rPr>
          <w:rFonts w:hint="eastAsia" w:ascii="仿宋_GB2312" w:hAnsi="仿宋_GB2312" w:eastAsia="仿宋_GB2312" w:cs="仿宋_GB2312"/>
          <w:b/>
          <w:w w:val="100"/>
          <w:sz w:val="32"/>
          <w:szCs w:val="32"/>
        </w:rPr>
        <w:t>。</w:t>
      </w:r>
      <w:r>
        <w:rPr>
          <w:rFonts w:hint="eastAsia" w:ascii="仿宋_GB2312" w:hAnsi="仿宋_GB2312" w:eastAsia="仿宋_GB2312" w:cs="仿宋_GB2312"/>
          <w:w w:val="100"/>
          <w:sz w:val="32"/>
          <w:szCs w:val="32"/>
        </w:rPr>
        <w:t>通过总部楼宇经济提质增效，打造国家高品位步行街区，服务业综合体的推进建设，高端商贸商务企业的持续引入，逐步形成布局合理、结构优化、功能先进、配套完善、可持续发展的现代商业空间格局和网点体系。中央商务核心区高品质金融和商务服务企业持续聚集，总部楼宇经济呈现高端、特色发展趋势；全省首个苹果直营店开业、宜家家居项目落地、</w:t>
      </w:r>
      <w:bookmarkStart w:id="4" w:name="OLE_LINK40"/>
      <w:bookmarkStart w:id="5" w:name="OLE_LINK41"/>
      <w:r>
        <w:rPr>
          <w:rFonts w:hint="eastAsia" w:ascii="仿宋_GB2312" w:hAnsi="仿宋_GB2312" w:eastAsia="仿宋_GB2312" w:cs="仿宋_GB2312"/>
          <w:w w:val="100"/>
          <w:sz w:val="32"/>
          <w:szCs w:val="32"/>
        </w:rPr>
        <w:t>中铁云时代广场、</w:t>
      </w:r>
      <w:bookmarkStart w:id="6" w:name="OLE_LINK35"/>
      <w:bookmarkStart w:id="7" w:name="OLE_LINK36"/>
      <w:bookmarkStart w:id="8" w:name="OLE_LINK37"/>
      <w:r>
        <w:rPr>
          <w:rFonts w:hint="eastAsia" w:ascii="仿宋_GB2312" w:hAnsi="仿宋_GB2312" w:eastAsia="仿宋_GB2312" w:cs="仿宋_GB2312"/>
          <w:w w:val="100"/>
          <w:sz w:val="32"/>
          <w:szCs w:val="32"/>
        </w:rPr>
        <w:t>国茶港</w:t>
      </w:r>
      <w:bookmarkEnd w:id="4"/>
      <w:bookmarkEnd w:id="5"/>
      <w:bookmarkEnd w:id="6"/>
      <w:r>
        <w:rPr>
          <w:rFonts w:hint="eastAsia" w:ascii="仿宋_GB2312" w:hAnsi="仿宋_GB2312" w:eastAsia="仿宋_GB2312" w:cs="仿宋_GB2312"/>
          <w:w w:val="100"/>
          <w:sz w:val="32"/>
          <w:szCs w:val="32"/>
        </w:rPr>
        <w:t>项目开展二次招商</w:t>
      </w:r>
      <w:bookmarkEnd w:id="7"/>
      <w:bookmarkEnd w:id="8"/>
      <w:r>
        <w:rPr>
          <w:rFonts w:hint="eastAsia" w:ascii="仿宋_GB2312" w:hAnsi="仿宋_GB2312" w:eastAsia="仿宋_GB2312" w:cs="仿宋_GB2312"/>
          <w:w w:val="100"/>
          <w:sz w:val="32"/>
          <w:szCs w:val="32"/>
        </w:rPr>
        <w:t>、西城时代、吾悦广场、首创奥莱等多个综合体的投入建设或运营，地铁沿线商业功能配套不断完善；昆明老街、南强街等特色文化街区对外开街，探索打造夜游经济圈，五华区逐步形成布局合理、结构优化、功能先进、配套完善、可持续发展的现代商业空间格局和网点体系。</w:t>
      </w:r>
      <w:bookmarkStart w:id="9" w:name="_Toc522011754"/>
    </w:p>
    <w:p>
      <w:pPr>
        <w:pageBreakBefore w:val="0"/>
        <w:widowControl w:val="0"/>
        <w:kinsoku/>
        <w:wordWrap/>
        <w:topLinePunct w:val="0"/>
        <w:autoSpaceDE/>
        <w:autoSpaceDN/>
        <w:bidi w:val="0"/>
        <w:adjustRightInd/>
        <w:spacing w:line="560" w:lineRule="exact"/>
        <w:ind w:firstLine="520"/>
        <w:jc w:val="both"/>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w w:val="100"/>
          <w:sz w:val="32"/>
          <w:szCs w:val="32"/>
        </w:rPr>
        <w:t>（三）经济效益进一步提</w:t>
      </w:r>
      <w:bookmarkEnd w:id="9"/>
      <w:r>
        <w:rPr>
          <w:rFonts w:hint="eastAsia" w:ascii="仿宋_GB2312" w:hAnsi="仿宋_GB2312" w:eastAsia="仿宋_GB2312" w:cs="仿宋_GB2312"/>
          <w:b/>
          <w:w w:val="100"/>
          <w:sz w:val="32"/>
          <w:szCs w:val="32"/>
        </w:rPr>
        <w:t>升。</w:t>
      </w:r>
      <w:bookmarkStart w:id="10" w:name="OLE_LINK20"/>
      <w:bookmarkStart w:id="11" w:name="OLE_LINK19"/>
      <w:r>
        <w:rPr>
          <w:rFonts w:hint="eastAsia" w:ascii="仿宋_GB2312" w:hAnsi="仿宋_GB2312" w:eastAsia="仿宋_GB2312" w:cs="仿宋_GB2312"/>
          <w:w w:val="100"/>
          <w:sz w:val="32"/>
          <w:szCs w:val="32"/>
        </w:rPr>
        <w:t>在金融服务机构、总部（楼宇）等领域尤为突出，产业高端化、集约化、集群化效果显著。相关领域发展层次和水平明显提高带动对经济的贡献率和拉动力，推动就业人数比重的增加。</w:t>
      </w:r>
      <w:bookmarkEnd w:id="10"/>
      <w:bookmarkEnd w:id="11"/>
      <w:r>
        <w:rPr>
          <w:rFonts w:hint="eastAsia" w:ascii="仿宋_GB2312" w:hAnsi="仿宋_GB2312" w:eastAsia="仿宋_GB2312" w:cs="仿宋_GB2312"/>
          <w:w w:val="100"/>
          <w:sz w:val="32"/>
          <w:szCs w:val="32"/>
        </w:rPr>
        <w:t>五华区积极促进</w:t>
      </w:r>
      <w:bookmarkStart w:id="12" w:name="OLE_LINK34"/>
      <w:bookmarkStart w:id="13" w:name="OLE_LINK33"/>
      <w:r>
        <w:rPr>
          <w:rFonts w:hint="eastAsia" w:ascii="仿宋_GB2312" w:hAnsi="仿宋_GB2312" w:eastAsia="仿宋_GB2312" w:cs="仿宋_GB2312"/>
          <w:w w:val="100"/>
          <w:sz w:val="32"/>
          <w:szCs w:val="32"/>
        </w:rPr>
        <w:t>东方柏丰首座商务中心</w:t>
      </w:r>
      <w:bookmarkEnd w:id="12"/>
      <w:bookmarkEnd w:id="13"/>
      <w:r>
        <w:rPr>
          <w:rFonts w:hint="eastAsia" w:ascii="仿宋_GB2312" w:hAnsi="仿宋_GB2312" w:eastAsia="仿宋_GB2312" w:cs="仿宋_GB2312"/>
          <w:w w:val="100"/>
          <w:sz w:val="32"/>
          <w:szCs w:val="32"/>
        </w:rPr>
        <w:t>等高端楼宇品质的升级</w:t>
      </w:r>
      <w:bookmarkStart w:id="14" w:name="OLE_LINK46"/>
      <w:bookmarkStart w:id="15" w:name="OLE_LINK45"/>
      <w:r>
        <w:rPr>
          <w:rFonts w:hint="eastAsia" w:ascii="仿宋_GB2312" w:hAnsi="仿宋_GB2312" w:eastAsia="仿宋_GB2312" w:cs="仿宋_GB2312"/>
          <w:w w:val="100"/>
          <w:sz w:val="32"/>
          <w:szCs w:val="32"/>
        </w:rPr>
        <w:t>，</w:t>
      </w:r>
      <w:bookmarkEnd w:id="14"/>
      <w:bookmarkEnd w:id="15"/>
      <w:r>
        <w:rPr>
          <w:rFonts w:hint="eastAsia" w:ascii="仿宋_GB2312" w:hAnsi="仿宋_GB2312" w:eastAsia="仿宋_GB2312" w:cs="仿宋_GB2312"/>
          <w:w w:val="100"/>
          <w:sz w:val="32"/>
          <w:szCs w:val="32"/>
        </w:rPr>
        <w:t>引入渣打银行、马来亚银行、普华永道等一批高品质金融服务和商务服务企业，推动中央商务区商业商务服务和金融服务功能进一步提升。全区聚集了12家省级银行类金融机构总部，约占昆明市的54%；15家省级保险公司总部，约占昆明市总量的50%；16家证券期货公司总部，约占昆明市总量的64%；4家外资银行，占昆明市总量的57%。2016年全区服务业就业人数为36852人，2017年全区服务业就业人数为41378人，同比上升2.86%，有效整合公共就业和人才服务机构市场资源，提升全区公共就业和人才服务水平。</w:t>
      </w:r>
    </w:p>
    <w:p>
      <w:pPr>
        <w:pageBreakBefore w:val="0"/>
        <w:widowControl w:val="0"/>
        <w:kinsoku/>
        <w:wordWrap/>
        <w:topLinePunct w:val="0"/>
        <w:autoSpaceDE/>
        <w:autoSpaceDN/>
        <w:bidi w:val="0"/>
        <w:adjustRightInd/>
        <w:snapToGrid w:val="0"/>
        <w:spacing w:line="560" w:lineRule="exact"/>
        <w:ind w:firstLine="645"/>
        <w:jc w:val="both"/>
        <w:textAlignment w:val="auto"/>
        <w:rPr>
          <w:rFonts w:hint="eastAsia" w:ascii="仿宋_GB2312" w:hAnsi="仿宋_GB2312" w:eastAsia="仿宋_GB2312" w:cs="仿宋_GB2312"/>
          <w:w w:val="100"/>
          <w:sz w:val="32"/>
          <w:szCs w:val="32"/>
        </w:rPr>
      </w:pPr>
      <w:bookmarkStart w:id="16" w:name="_Toc522011755"/>
      <w:r>
        <w:rPr>
          <w:rFonts w:hint="eastAsia" w:ascii="仿宋_GB2312" w:hAnsi="仿宋_GB2312" w:eastAsia="仿宋_GB2312" w:cs="仿宋_GB2312"/>
          <w:b/>
          <w:w w:val="100"/>
          <w:sz w:val="32"/>
          <w:szCs w:val="32"/>
        </w:rPr>
        <w:t>（四）服务品牌影响力进一步彰显</w:t>
      </w:r>
      <w:bookmarkEnd w:id="16"/>
      <w:r>
        <w:rPr>
          <w:rFonts w:hint="eastAsia" w:ascii="仿宋_GB2312" w:hAnsi="仿宋_GB2312" w:eastAsia="仿宋_GB2312" w:cs="仿宋_GB2312"/>
          <w:b/>
          <w:w w:val="100"/>
          <w:sz w:val="32"/>
          <w:szCs w:val="32"/>
        </w:rPr>
        <w:t>。</w:t>
      </w:r>
      <w:bookmarkStart w:id="20" w:name="_GoBack"/>
      <w:r>
        <w:rPr>
          <w:rFonts w:hint="eastAsia" w:ascii="仿宋_GB2312" w:hAnsi="仿宋_GB2312" w:eastAsia="仿宋_GB2312" w:cs="仿宋_GB2312"/>
          <w:b w:val="0"/>
          <w:bCs/>
          <w:w w:val="100"/>
          <w:sz w:val="32"/>
          <w:szCs w:val="32"/>
        </w:rPr>
        <w:t>在打造一流营商环境的同时，五华</w:t>
      </w:r>
      <w:bookmarkEnd w:id="20"/>
      <w:r>
        <w:rPr>
          <w:rFonts w:hint="eastAsia" w:ascii="仿宋_GB2312" w:hAnsi="仿宋_GB2312" w:eastAsia="仿宋_GB2312" w:cs="仿宋_GB2312"/>
          <w:w w:val="100"/>
          <w:sz w:val="32"/>
          <w:szCs w:val="32"/>
        </w:rPr>
        <w:t>区也积极配合我市在南屏步行街开展“诚信万里行”云南站活动，同时结合“3·15国际消费者权益日”、“诚信示范街区创建”等系列活动，不断健立服务品牌意识，健全服务品牌机制。2016年以来，五华区新增</w:t>
      </w:r>
      <w:bookmarkStart w:id="17" w:name="OLE_LINK51"/>
      <w:bookmarkStart w:id="18" w:name="OLE_LINK49"/>
      <w:bookmarkStart w:id="19" w:name="OLE_LINK50"/>
      <w:r>
        <w:rPr>
          <w:rFonts w:hint="eastAsia" w:ascii="仿宋_GB2312" w:hAnsi="仿宋_GB2312" w:eastAsia="仿宋_GB2312" w:cs="仿宋_GB2312"/>
          <w:w w:val="100"/>
          <w:sz w:val="32"/>
          <w:szCs w:val="32"/>
        </w:rPr>
        <w:t>云南省驰名品牌企业</w:t>
      </w:r>
      <w:bookmarkEnd w:id="17"/>
      <w:bookmarkEnd w:id="18"/>
      <w:bookmarkEnd w:id="19"/>
      <w:r>
        <w:rPr>
          <w:rFonts w:hint="eastAsia" w:ascii="仿宋_GB2312" w:hAnsi="仿宋_GB2312" w:eastAsia="仿宋_GB2312" w:cs="仿宋_GB2312"/>
          <w:w w:val="100"/>
          <w:sz w:val="32"/>
          <w:szCs w:val="32"/>
        </w:rPr>
        <w:t>10家，昆明市驰名品牌8家。全区范围内形成中国驰名商标4件，著名商标115件，知名商标129件。通过培育一批具有国内影响力的品牌企业推动品牌经济跨越发展，结合商贸核心区的区位优势，为进一步拉动市场消费，拓展服务功能，以传统佳节为切入点，牵头组织以辖区内限额以上商业企业为主，各银行机构、全区中小零售、餐饮、娱乐等中小商贸流通企业为辅，结合互联网等新型渠道，持续开展主题营销、促销活动活动，形成具有五华特色标志的品牌服务活动。</w:t>
      </w:r>
    </w:p>
    <w:p>
      <w:pPr>
        <w:pageBreakBefore w:val="0"/>
        <w:widowControl w:val="0"/>
        <w:kinsoku/>
        <w:wordWrap/>
        <w:topLinePunct w:val="0"/>
        <w:autoSpaceDE/>
        <w:autoSpaceDN/>
        <w:bidi w:val="0"/>
        <w:adjustRightInd/>
        <w:snapToGrid w:val="0"/>
        <w:spacing w:line="560" w:lineRule="exact"/>
        <w:ind w:firstLine="645"/>
        <w:jc w:val="both"/>
        <w:textAlignment w:val="auto"/>
        <w:rPr>
          <w:rFonts w:hint="eastAsia" w:ascii="黑体" w:hAnsi="黑体" w:eastAsia="黑体" w:cs="黑体"/>
          <w:b w:val="0"/>
          <w:bCs/>
          <w:w w:val="100"/>
          <w:sz w:val="32"/>
          <w:szCs w:val="32"/>
        </w:rPr>
      </w:pPr>
      <w:r>
        <w:rPr>
          <w:rFonts w:hint="eastAsia" w:ascii="黑体" w:hAnsi="黑体" w:eastAsia="黑体" w:cs="黑体"/>
          <w:b w:val="0"/>
          <w:bCs/>
          <w:w w:val="100"/>
          <w:sz w:val="32"/>
          <w:szCs w:val="32"/>
          <w:lang w:val="en-US" w:eastAsia="zh-CN"/>
        </w:rPr>
        <w:t>三</w:t>
      </w:r>
      <w:r>
        <w:rPr>
          <w:rFonts w:hint="eastAsia" w:ascii="黑体" w:hAnsi="黑体" w:eastAsia="黑体" w:cs="黑体"/>
          <w:b w:val="0"/>
          <w:bCs/>
          <w:w w:val="100"/>
          <w:sz w:val="32"/>
          <w:szCs w:val="32"/>
        </w:rPr>
        <w:t>、下一步的工作打算</w:t>
      </w:r>
    </w:p>
    <w:p>
      <w:pPr>
        <w:pageBreakBefore w:val="0"/>
        <w:widowControl w:val="0"/>
        <w:kinsoku/>
        <w:wordWrap/>
        <w:topLinePunct w:val="0"/>
        <w:autoSpaceDE/>
        <w:autoSpaceDN/>
        <w:bidi w:val="0"/>
        <w:adjustRightInd/>
        <w:spacing w:line="560" w:lineRule="exact"/>
        <w:ind w:firstLine="520"/>
        <w:jc w:val="both"/>
        <w:textAlignment w:val="auto"/>
        <w:rPr>
          <w:rFonts w:hint="eastAsia" w:ascii="仿宋_GB2312" w:hAnsi="仿宋_GB2312" w:eastAsia="仿宋_GB2312" w:cs="仿宋_GB2312"/>
          <w:b/>
          <w:w w:val="100"/>
          <w:sz w:val="32"/>
          <w:szCs w:val="32"/>
        </w:rPr>
      </w:pPr>
      <w:r>
        <w:rPr>
          <w:rFonts w:hint="eastAsia" w:ascii="仿宋_GB2312" w:hAnsi="仿宋_GB2312" w:eastAsia="仿宋_GB2312" w:cs="仿宋_GB2312"/>
          <w:b/>
          <w:w w:val="100"/>
          <w:sz w:val="32"/>
          <w:szCs w:val="32"/>
        </w:rPr>
        <w:t>（一）以现代服务业为重点做强第三产业</w:t>
      </w:r>
    </w:p>
    <w:p>
      <w:pPr>
        <w:pageBreakBefore w:val="0"/>
        <w:widowControl w:val="0"/>
        <w:kinsoku/>
        <w:wordWrap/>
        <w:topLinePunct w:val="0"/>
        <w:autoSpaceDE/>
        <w:autoSpaceDN/>
        <w:bidi w:val="0"/>
        <w:adjustRightInd/>
        <w:spacing w:line="560" w:lineRule="exact"/>
        <w:ind w:firstLine="520"/>
        <w:jc w:val="both"/>
        <w:textAlignment w:val="auto"/>
        <w:rPr>
          <w:rFonts w:hint="eastAsia" w:ascii="仿宋_GB2312" w:hAnsi="仿宋_GB2312" w:eastAsia="仿宋_GB2312" w:cs="仿宋_GB2312"/>
          <w:b w:val="0"/>
          <w:w w:val="100"/>
          <w:sz w:val="32"/>
          <w:szCs w:val="32"/>
        </w:rPr>
      </w:pPr>
      <w:r>
        <w:rPr>
          <w:rFonts w:hint="eastAsia" w:ascii="仿宋_GB2312" w:hAnsi="仿宋_GB2312" w:eastAsia="仿宋_GB2312" w:cs="仿宋_GB2312"/>
          <w:color w:val="000000"/>
          <w:w w:val="100"/>
          <w:sz w:val="32"/>
          <w:szCs w:val="32"/>
        </w:rPr>
        <w:t>1.提升现代服务业发展质量。以龙头企业和总部经济带动生产性服务业培育壮大，着力做好科大讯飞“两亚”总部、中铁二院等机构和区域性总部的招商引资工作，促进总部经济在研发设计、投资服务等领域不断延伸。结合昆明剧院周边地块、原昆八中如安街地块开发，打造金融特色商圈，巩固金融业聚集优势；积极适应现代商务办公和市场发展特点，以美国联合利宝保险入驻为基础，持续吸引银行、保险、证券、信托、财务管理、资产管理等领域的区域金融企业总部入驻，发挥金融业对其他行业的带动和服务作用。</w:t>
      </w:r>
    </w:p>
    <w:p>
      <w:pPr>
        <w:pageBreakBefore w:val="0"/>
        <w:widowControl w:val="0"/>
        <w:kinsoku/>
        <w:wordWrap/>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优先发展生产性服务业。按照既抓产业集群，也抓产业配套的思路，在加快特色产业集群发展的同时，大力培育与先进制造业相配套的电子商务、信息服务、现代物流、产业咨询等配套服务业，建设研发、科研和创业、创新总部。一是积极组织昆明地利农产品交易有限公司申报云南国际高原特色农产品交易有限公司，云南国际高原特色农产品交易中心属于云南省重点推进要素交易中心建设项目之一，按照省、市要素交易中心建设推进工作领导小组办公室通知要求，昆明地利农产品有限公司于2020年4月向五华区人民政府递交了《昆明地利农产品有限公司关于牵头设立云南国际高原特色农产品交易中心的申请》及相关申报材料。区政府按照要求及时将资料提交至市政府，目前正在等待审批。二是了解掌握辖区内能投物流、德邦行等大型物流商贸企业经营情况，密切关注企业经营存在问题及困难，主动服务企业，及时帮助企业渡过难关。</w:t>
      </w:r>
    </w:p>
    <w:p>
      <w:pPr>
        <w:pageBreakBefore w:val="0"/>
        <w:widowControl w:val="0"/>
        <w:kinsoku/>
        <w:wordWrap/>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3.大力发展生活性服务业，不断提升中央商务区品质。一是不断巩固南屏步行街商贸核心地位。积极引导传统商贸企业转型发展，顺应互联网与实体经济的融合发展趋势，积极引导商贸龙头企业开展线上线融合发展，引入先进理念、现代技术和商业模式，积极创新发展传统服务业的新业态，依托柏联百盛、昆百大、王府井、顺城购物中心等商贸企业，着力引进高端零售业态和服务业高端项目，巩固中心城区市场优势打造传统商业与现代化商业集聚的中心商圈。二是大力促进夜间经济发展。为进一步贯彻落实中央关于深挖内需潜力、扩大最终需求的决策部署以及省、市促进夜间经济发展相关文件精神，2019年出台了《五华区建设夜间经济示范街区工作方案》，以南强街区、昆明老街两个夜间经济示范街区为示范，辐射带动顺城、大观商业城、金鹰等周边片区人流聚集，依托昆明主城西北片区吾悦广场、云时代耍街、国茶港、融创春风十里等商业圈，积极谋划推动云时代耍街夜间经济，通过延长游客停留时间，聚集形成集购物、餐饮、娱乐、休闲、旅游、商务为一体的开放式消费场所，建设富有地方特色的夜间经济集聚区与特色商圈，南屏街列为全省首批5个夜间经济地标，新城吾悦广场列为首批15个夜间经济商圈，昆明环翠湖、南强街、大观街列为全省首批50个夜间经济生活圈。三是以南屏街成功申报国家步行街改造提升试点为契机，着力引进高端零售业态和服务业高端项目，巩固中心城区市场优势打造传统商业与现代化商业集聚的中心商圈。通过科学规划布局、丰富消费业态、完善服务要件、强化宣传推广，拓展延伸夜间经济产业链，以打造“一个地标、六种业态、多个片区繁荣发展”为目标，利用3年时间，逐步形成布局合理、业态多元、特色鲜明、功能完善的夜间消费发展格局，使</w:t>
      </w:r>
      <w:r>
        <w:rPr>
          <w:rFonts w:hint="eastAsia" w:ascii="仿宋_GB2312" w:hAnsi="仿宋_GB2312" w:eastAsia="仿宋_GB2312" w:cs="仿宋_GB2312"/>
          <w:w w:val="100"/>
          <w:sz w:val="32"/>
          <w:szCs w:val="32"/>
          <w:shd w:val="clear" w:color="000000" w:fill="FFFFFF"/>
        </w:rPr>
        <w:t>夜间经济成为推动五华区经济高质量发展的新引擎。</w:t>
      </w:r>
      <w:r>
        <w:rPr>
          <w:rFonts w:hint="eastAsia" w:ascii="仿宋_GB2312" w:hAnsi="仿宋_GB2312" w:eastAsia="仿宋_GB2312" w:cs="仿宋_GB2312"/>
          <w:w w:val="100"/>
          <w:sz w:val="32"/>
          <w:szCs w:val="32"/>
        </w:rPr>
        <w:t>按照国家商务部关于推进步行街改造提升的要求，加强南屏步行街规划布局、优化街区环境、提升商业质量、打造智慧街区、增强文化氛围、规范运营管理等六项任务，在现有基础上改造提升，缺什么，补什么，确保按时达到全国示范步行街挂牌条件。</w:t>
      </w:r>
    </w:p>
    <w:p>
      <w:pPr>
        <w:pageBreakBefore w:val="0"/>
        <w:widowControl w:val="0"/>
        <w:kinsoku/>
        <w:wordWrap/>
        <w:overflowPunct w:val="0"/>
        <w:topLinePunct w:val="0"/>
        <w:autoSpaceDE/>
        <w:autoSpaceDN/>
        <w:bidi w:val="0"/>
        <w:adjustRightInd/>
        <w:snapToGrid w:val="0"/>
        <w:spacing w:before="0" w:after="0" w:line="560" w:lineRule="exact"/>
        <w:ind w:left="0" w:leftChars="0" w:firstLine="643" w:firstLineChars="200"/>
        <w:jc w:val="both"/>
        <w:textAlignment w:val="auto"/>
        <w:rPr>
          <w:rFonts w:hint="eastAsia" w:ascii="仿宋_GB2312" w:hAnsi="仿宋_GB2312" w:eastAsia="仿宋_GB2312" w:cs="仿宋_GB2312"/>
          <w:b/>
          <w:w w:val="100"/>
          <w:sz w:val="32"/>
          <w:szCs w:val="32"/>
        </w:rPr>
      </w:pPr>
      <w:r>
        <w:rPr>
          <w:rFonts w:hint="eastAsia" w:ascii="仿宋_GB2312" w:hAnsi="仿宋_GB2312" w:eastAsia="仿宋_GB2312" w:cs="仿宋_GB2312"/>
          <w:b/>
          <w:w w:val="100"/>
          <w:sz w:val="32"/>
          <w:szCs w:val="32"/>
        </w:rPr>
        <w:t>（二）优化服务业发展的营商环境，促进消费稳步回暖</w:t>
      </w:r>
    </w:p>
    <w:p>
      <w:pPr>
        <w:pageBreakBefore w:val="0"/>
        <w:widowControl w:val="0"/>
        <w:tabs>
          <w:tab w:val="left" w:pos="-824"/>
        </w:tabs>
        <w:kinsoku/>
        <w:wordWrap/>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近年来，随着国际市场国内化、国内竞争国际化，我区民营企业面临着更严峻的挑战：既有来自国有企业的竞争，更有来自跨国公司的竞争。由于缺乏包括管理方式、服务理念、经营模式等方面的创新和提升，我区以传统商贸业为主的民营企业原有的一些发展优势正在逐渐减弱。</w:t>
      </w:r>
      <w:r>
        <w:rPr>
          <w:rFonts w:hint="eastAsia" w:ascii="仿宋_GB2312" w:hAnsi="仿宋_GB2312" w:eastAsia="仿宋_GB2312" w:cs="仿宋_GB2312"/>
          <w:b/>
          <w:w w:val="100"/>
          <w:sz w:val="32"/>
          <w:szCs w:val="32"/>
        </w:rPr>
        <w:t>一是</w:t>
      </w:r>
      <w:r>
        <w:rPr>
          <w:rFonts w:hint="eastAsia" w:ascii="仿宋_GB2312" w:hAnsi="仿宋_GB2312" w:eastAsia="仿宋_GB2312" w:cs="仿宋_GB2312"/>
          <w:w w:val="100"/>
          <w:sz w:val="32"/>
          <w:szCs w:val="32"/>
        </w:rPr>
        <w:t>进一步推进简政放权、放管结合优化服务工作，着力从解决企业融资难、搭建中小企业公共服务体系建设等方面入手，落实政策，解决最后“最后一公里”问题。</w:t>
      </w:r>
      <w:r>
        <w:rPr>
          <w:rFonts w:hint="eastAsia" w:ascii="仿宋_GB2312" w:hAnsi="仿宋_GB2312" w:eastAsia="仿宋_GB2312" w:cs="仿宋_GB2312"/>
          <w:b/>
          <w:w w:val="100"/>
          <w:sz w:val="32"/>
          <w:szCs w:val="32"/>
        </w:rPr>
        <w:t>二是</w:t>
      </w:r>
      <w:r>
        <w:rPr>
          <w:rFonts w:hint="eastAsia" w:ascii="仿宋_GB2312" w:hAnsi="仿宋_GB2312" w:eastAsia="仿宋_GB2312" w:cs="仿宋_GB2312"/>
          <w:w w:val="100"/>
          <w:sz w:val="32"/>
          <w:szCs w:val="32"/>
        </w:rPr>
        <w:t>研究制定完善区级相应政策扶持措施，将省、市级对中小企业创业创新、企业稳增长、外贸出口等各项扶持政策落到实处，建设普惠企业的政策环境。</w:t>
      </w:r>
      <w:r>
        <w:rPr>
          <w:rFonts w:hint="eastAsia" w:ascii="仿宋_GB2312" w:hAnsi="仿宋_GB2312" w:eastAsia="仿宋_GB2312" w:cs="仿宋_GB2312"/>
          <w:b/>
          <w:w w:val="100"/>
          <w:sz w:val="32"/>
          <w:szCs w:val="32"/>
        </w:rPr>
        <w:t>三</w:t>
      </w:r>
      <w:r>
        <w:rPr>
          <w:rFonts w:hint="eastAsia" w:ascii="仿宋_GB2312" w:hAnsi="仿宋_GB2312" w:eastAsia="仿宋_GB2312" w:cs="仿宋_GB2312"/>
          <w:w w:val="100"/>
          <w:sz w:val="32"/>
          <w:szCs w:val="32"/>
        </w:rPr>
        <w:t>鼓励企业拓展销售渠道。鼓励零售、百货、餐饮、批发、电器等传统消费领域企业积极搭建线上销售平台，开展网络下单配送服务，拓展“线上营销+线下体验”相结合的销售模式。</w:t>
      </w:r>
      <w:r>
        <w:rPr>
          <w:rFonts w:hint="eastAsia" w:ascii="仿宋_GB2312" w:hAnsi="仿宋_GB2312" w:eastAsia="仿宋_GB2312" w:cs="仿宋_GB2312"/>
          <w:b/>
          <w:w w:val="100"/>
          <w:sz w:val="32"/>
          <w:szCs w:val="32"/>
        </w:rPr>
        <w:t>四是</w:t>
      </w:r>
      <w:r>
        <w:rPr>
          <w:rFonts w:hint="eastAsia" w:ascii="仿宋_GB2312" w:hAnsi="仿宋_GB2312" w:eastAsia="仿宋_GB2312" w:cs="仿宋_GB2312"/>
          <w:w w:val="100"/>
          <w:sz w:val="32"/>
          <w:szCs w:val="32"/>
        </w:rPr>
        <w:t>支持新业态发展壮大。持续发展壮大云逛街、生鲜电商、线上超市、无人超市等“无接触”新零售模式，支持将疫情期间萌发的新业态培育为常态化产业。</w:t>
      </w:r>
      <w:r>
        <w:rPr>
          <w:rFonts w:hint="eastAsia" w:ascii="仿宋_GB2312" w:hAnsi="仿宋_GB2312" w:eastAsia="仿宋_GB2312" w:cs="仿宋_GB2312"/>
          <w:b/>
          <w:w w:val="100"/>
          <w:sz w:val="32"/>
          <w:szCs w:val="32"/>
        </w:rPr>
        <w:t>三是</w:t>
      </w:r>
      <w:r>
        <w:rPr>
          <w:rFonts w:hint="eastAsia" w:ascii="仿宋_GB2312" w:hAnsi="仿宋_GB2312" w:eastAsia="仿宋_GB2312" w:cs="仿宋_GB2312"/>
          <w:w w:val="100"/>
          <w:sz w:val="32"/>
          <w:szCs w:val="32"/>
        </w:rPr>
        <w:t>加快建设智慧商圈。启动实施南屏街和正义路市容环境提升整治工程，大力开展国家第二批高品位步行街申报工作，加强与阿里本地生活等深入合作，赋能核心商圈线上线下整合发展，打造智慧商圈，吸引消费人流回归。</w:t>
      </w:r>
      <w:r>
        <w:rPr>
          <w:rFonts w:hint="eastAsia" w:ascii="仿宋_GB2312" w:hAnsi="仿宋_GB2312" w:eastAsia="仿宋_GB2312" w:cs="仿宋_GB2312"/>
          <w:b/>
          <w:w w:val="100"/>
          <w:sz w:val="32"/>
          <w:szCs w:val="32"/>
        </w:rPr>
        <w:t>五是</w:t>
      </w:r>
      <w:r>
        <w:rPr>
          <w:rFonts w:hint="eastAsia" w:ascii="仿宋_GB2312" w:hAnsi="仿宋_GB2312" w:eastAsia="仿宋_GB2312" w:cs="仿宋_GB2312"/>
          <w:w w:val="100"/>
          <w:sz w:val="32"/>
          <w:szCs w:val="32"/>
        </w:rPr>
        <w:t>促进大小品牌联动发展。继续做好重点商贸零售服务工作，着重发展“首店经济”，支持“小店经济”连锁化多点布局，满足不同消费群体多元化消费需求。</w:t>
      </w:r>
    </w:p>
    <w:p>
      <w:pPr>
        <w:pageBreakBefore w:val="0"/>
        <w:widowControl w:val="0"/>
        <w:kinsoku/>
        <w:wordWrap/>
        <w:topLinePunct w:val="0"/>
        <w:autoSpaceDE/>
        <w:autoSpaceDN/>
        <w:bidi w:val="0"/>
        <w:adjustRightInd/>
        <w:snapToGrid w:val="0"/>
        <w:spacing w:before="0" w:after="0" w:line="560" w:lineRule="exact"/>
        <w:ind w:left="0" w:leftChars="0" w:firstLine="643" w:firstLineChars="200"/>
        <w:jc w:val="both"/>
        <w:textAlignment w:val="auto"/>
        <w:rPr>
          <w:rFonts w:hint="eastAsia" w:ascii="仿宋_GB2312" w:hAnsi="仿宋_GB2312" w:eastAsia="仿宋_GB2312" w:cs="仿宋_GB2312"/>
          <w:b/>
          <w:w w:val="100"/>
          <w:sz w:val="32"/>
          <w:szCs w:val="32"/>
        </w:rPr>
      </w:pPr>
      <w:r>
        <w:rPr>
          <w:rFonts w:hint="eastAsia" w:ascii="仿宋_GB2312" w:hAnsi="仿宋_GB2312" w:eastAsia="仿宋_GB2312" w:cs="仿宋_GB2312"/>
          <w:b/>
          <w:w w:val="100"/>
          <w:sz w:val="32"/>
          <w:szCs w:val="32"/>
        </w:rPr>
        <w:t>（</w:t>
      </w:r>
      <w:r>
        <w:rPr>
          <w:rFonts w:hint="eastAsia" w:ascii="仿宋_GB2312" w:hAnsi="仿宋_GB2312" w:eastAsia="仿宋_GB2312" w:cs="仿宋_GB2312"/>
          <w:b/>
          <w:w w:val="100"/>
          <w:sz w:val="32"/>
          <w:szCs w:val="32"/>
          <w:lang w:val="en-US" w:eastAsia="zh-CN"/>
        </w:rPr>
        <w:t>三</w:t>
      </w:r>
      <w:r>
        <w:rPr>
          <w:rFonts w:hint="eastAsia" w:ascii="仿宋_GB2312" w:hAnsi="仿宋_GB2312" w:eastAsia="仿宋_GB2312" w:cs="仿宋_GB2312"/>
          <w:b/>
          <w:w w:val="100"/>
          <w:sz w:val="32"/>
          <w:szCs w:val="32"/>
        </w:rPr>
        <w:t>）以保促稳、稳中求进，提升民生保障能力</w:t>
      </w:r>
    </w:p>
    <w:p>
      <w:pPr>
        <w:pageBreakBefore w:val="0"/>
        <w:widowControl w:val="0"/>
        <w:kinsoku/>
        <w:wordWrap/>
        <w:topLinePunct w:val="0"/>
        <w:autoSpaceDE/>
        <w:autoSpaceDN/>
        <w:bidi w:val="0"/>
        <w:adjustRightInd/>
        <w:snapToGrid w:val="0"/>
        <w:spacing w:before="0" w:after="0" w:line="560" w:lineRule="exact"/>
        <w:ind w:left="0" w:leftChars="0" w:firstLine="640" w:firstLineChars="200"/>
        <w:jc w:val="both"/>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我区服务业企业较为集中，企业面对经营压力并缺乏有效经济刺激，将会在一定时期内持续存在不招聘或裁员行为，相较兄弟县区我区就业形势更趋严峻。根据系统数据，2020年4月登记就业人数1637人，不足去年4月3527人的一半。同时，就业需求持续增长，预计今年省内高校毕业生将超过22万人，近45%的毕业生将选择在昆明就业，加上部分学生掌握的技能难以适应市场需求，“就业难”的压力持续上升。</w:t>
      </w:r>
      <w:r>
        <w:rPr>
          <w:rFonts w:hint="eastAsia" w:ascii="仿宋_GB2312" w:hAnsi="仿宋_GB2312" w:eastAsia="仿宋_GB2312" w:cs="仿宋_GB2312"/>
          <w:b/>
          <w:w w:val="100"/>
          <w:sz w:val="32"/>
          <w:szCs w:val="32"/>
        </w:rPr>
        <w:t>一是</w:t>
      </w:r>
      <w:r>
        <w:rPr>
          <w:rFonts w:hint="eastAsia" w:ascii="仿宋_GB2312" w:hAnsi="仿宋_GB2312" w:eastAsia="仿宋_GB2312" w:cs="仿宋_GB2312"/>
          <w:w w:val="100"/>
          <w:sz w:val="32"/>
          <w:szCs w:val="32"/>
        </w:rPr>
        <w:t>继续做好失业人员的失业保险待遇和物价补贴的发放，落实在领取失业保险金期间，距退休年龄不满一年延长领取失业保险金的政策。做好省级即将提高领取失业保险待遇标准和双倍物价补贴的准备工作，兜住民生底线。</w:t>
      </w:r>
      <w:r>
        <w:rPr>
          <w:rFonts w:hint="eastAsia" w:ascii="仿宋_GB2312" w:hAnsi="仿宋_GB2312" w:eastAsia="仿宋_GB2312" w:cs="仿宋_GB2312"/>
          <w:b/>
          <w:w w:val="100"/>
          <w:sz w:val="32"/>
          <w:szCs w:val="32"/>
        </w:rPr>
        <w:t>二是</w:t>
      </w:r>
      <w:r>
        <w:rPr>
          <w:rFonts w:hint="eastAsia" w:ascii="仿宋_GB2312" w:hAnsi="仿宋_GB2312" w:eastAsia="仿宋_GB2312" w:cs="仿宋_GB2312"/>
          <w:w w:val="100"/>
          <w:sz w:val="32"/>
          <w:szCs w:val="32"/>
        </w:rPr>
        <w:t>大力开发就业岗位，保证全年提供有效就业岗位29000个。继续做好就业困难人员社会保险补贴兑付工作，积极向市劳动就业服务局反映，争取更多的资金支持，加快资金兑付力度。同时，进一步完善职业介绍工作规范化、市场化、社会化工作。</w:t>
      </w:r>
      <w:r>
        <w:rPr>
          <w:rFonts w:hint="eastAsia" w:ascii="仿宋_GB2312" w:hAnsi="仿宋_GB2312" w:eastAsia="仿宋_GB2312" w:cs="仿宋_GB2312"/>
          <w:b/>
          <w:w w:val="100"/>
          <w:sz w:val="32"/>
          <w:szCs w:val="32"/>
        </w:rPr>
        <w:t>三是</w:t>
      </w:r>
      <w:r>
        <w:rPr>
          <w:rFonts w:hint="eastAsia" w:ascii="仿宋_GB2312" w:hAnsi="仿宋_GB2312" w:eastAsia="仿宋_GB2312" w:cs="仿宋_GB2312"/>
          <w:w w:val="100"/>
          <w:sz w:val="32"/>
          <w:szCs w:val="32"/>
        </w:rPr>
        <w:t>抓好高校毕业生就业创业服务。深度挖掘企业用工需求，以“高校毕业生就业服务月”“专场招聘会”等活动为契机，鼓励企业吸纳高校毕业生就业，持续开展好吸纳高校毕业生社保补贴、就业见习补贴、税收减免等工作；推动高校毕业生以创业带动就业，把大学生创业补贴、创业贷款等政策落实到位。</w:t>
      </w:r>
      <w:r>
        <w:rPr>
          <w:rFonts w:hint="eastAsia" w:ascii="仿宋_GB2312" w:hAnsi="仿宋_GB2312" w:eastAsia="仿宋_GB2312" w:cs="仿宋_GB2312"/>
          <w:b/>
          <w:w w:val="100"/>
          <w:sz w:val="32"/>
          <w:szCs w:val="32"/>
        </w:rPr>
        <w:t>四是</w:t>
      </w:r>
      <w:r>
        <w:rPr>
          <w:rFonts w:hint="eastAsia" w:ascii="仿宋_GB2312" w:hAnsi="仿宋_GB2312" w:eastAsia="仿宋_GB2312" w:cs="仿宋_GB2312"/>
          <w:w w:val="100"/>
          <w:sz w:val="32"/>
          <w:szCs w:val="32"/>
        </w:rPr>
        <w:t>持续做好困难群体基本生活保障工作。严格落实社会救助制度安排，按照社会救助和保障标准与物价上涨挂钩的联动机制，加大对低保对象、特困人员等群体救助力度。完善救急难工作机制，提高救助效能，真正实现“解急救难”。规范困难群众家庭经济状况的核对认定，提高精准识别精准认定水平，持续开展困难群众救助工作绩效评价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最后，再次感谢您对五华区经济社会发展的监督关心与支持。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联系人：马原  63635437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五华区商务和投资促进局</w:t>
      </w:r>
      <w:r>
        <w:rPr>
          <w:rFonts w:hint="eastAsia" w:ascii="仿宋_GB2312" w:hAnsi="仿宋_GB2312" w:eastAsia="仿宋_GB2312" w:cs="仿宋_GB2312"/>
          <w:color w:val="000000"/>
          <w:sz w:val="32"/>
          <w:szCs w:val="32"/>
          <w:lang w:val="en-US" w:eastAsia="zh-CN"/>
        </w:rPr>
        <w:t xml:space="preserve">            五华区发展改革局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日</w:t>
      </w:r>
    </w:p>
    <w:p>
      <w:pPr>
        <w:pStyle w:val="2"/>
        <w:pageBreakBefore w:val="0"/>
        <w:widowControl w:val="0"/>
        <w:kinsoku/>
        <w:wordWrap/>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pageBreakBefore w:val="0"/>
        <w:widowControl w:val="0"/>
        <w:kinsoku/>
        <w:wordWrap/>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pStyle w:val="2"/>
        <w:pageBreakBefore w:val="0"/>
        <w:widowControl w:val="0"/>
        <w:kinsoku/>
        <w:wordWrap/>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pageBreakBefore w:val="0"/>
        <w:widowControl w:val="0"/>
        <w:kinsoku/>
        <w:wordWrap/>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tbl>
      <w:tblPr>
        <w:tblStyle w:val="6"/>
        <w:tblW w:w="8847"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pageBreakBefore w:val="0"/>
              <w:kinsoku/>
              <w:wordWrap/>
              <w:topLinePunct w:val="0"/>
              <w:autoSpaceDN/>
              <w:bidi w:val="0"/>
              <w:adjustRightInd w:val="0"/>
              <w:snapToGrid w:val="0"/>
              <w:spacing w:line="560" w:lineRule="exact"/>
              <w:ind w:left="0" w:leftChars="0" w:firstLine="0" w:firstLineChars="0"/>
              <w:rPr>
                <w:rFonts w:ascii="仿宋_GB2312" w:eastAsia="仿宋_GB2312"/>
                <w:snapToGrid w:val="0"/>
                <w:sz w:val="28"/>
                <w:szCs w:val="28"/>
              </w:rPr>
            </w:pPr>
            <w:r>
              <w:rPr>
                <w:rFonts w:hint="eastAsia" w:ascii="仿宋_GB2312" w:eastAsia="仿宋_GB2312"/>
                <w:snapToGrid w:val="0"/>
                <w:sz w:val="28"/>
                <w:szCs w:val="28"/>
              </w:rPr>
              <w:t>抄送：</w:t>
            </w:r>
            <w:r>
              <w:rPr>
                <w:rFonts w:ascii="Times New Roman" w:hAnsi="Times New Roman" w:eastAsia="仿宋_GB2312"/>
                <w:sz w:val="28"/>
                <w:szCs w:val="28"/>
              </w:rPr>
              <w:t>区人大人事委，区政府目督办</w:t>
            </w:r>
            <w:r>
              <w:rPr>
                <w:rFonts w:hint="eastAsia" w:ascii="仿宋_GB2312" w:eastAsia="仿宋_GB2312" w:cs="仿宋_GB2312"/>
                <w:color w:val="000000"/>
                <w:sz w:val="30"/>
                <w:szCs w:val="3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pageBreakBefore w:val="0"/>
              <w:kinsoku/>
              <w:wordWrap/>
              <w:topLinePunct w:val="0"/>
              <w:autoSpaceDN/>
              <w:bidi w:val="0"/>
              <w:adjustRightInd w:val="0"/>
              <w:snapToGrid w:val="0"/>
              <w:spacing w:line="560" w:lineRule="exact"/>
              <w:ind w:left="0" w:leftChars="0" w:firstLine="0" w:firstLineChars="0"/>
              <w:rPr>
                <w:rFonts w:ascii="Times New Roman" w:hAnsi="Times New Roman" w:eastAsia="仿宋_GB2312"/>
                <w:snapToGrid w:val="0"/>
                <w:sz w:val="28"/>
                <w:szCs w:val="28"/>
              </w:rPr>
            </w:pPr>
            <w:r>
              <w:rPr>
                <w:rFonts w:hint="eastAsia" w:ascii="Times New Roman" w:hAnsi="Times New Roman" w:eastAsia="仿宋_GB2312"/>
                <w:color w:val="000000"/>
                <w:szCs w:val="32"/>
                <w:lang w:val="en-US" w:eastAsia="zh-CN"/>
              </w:rPr>
              <w:t>五华区商投和投资促进局</w:t>
            </w:r>
            <w:r>
              <w:rPr>
                <w:rFonts w:ascii="Times New Roman" w:hAnsi="Times New Roman" w:eastAsia="仿宋_GB2312"/>
                <w:snapToGrid w:val="0"/>
                <w:sz w:val="28"/>
                <w:szCs w:val="28"/>
              </w:rPr>
              <w:t xml:space="preserve">                       </w:t>
            </w:r>
            <w:r>
              <w:rPr>
                <w:rFonts w:hint="eastAsia" w:ascii="Times New Roman" w:hAnsi="Times New Roman" w:eastAsia="仿宋_GB2312"/>
                <w:snapToGrid w:val="0"/>
                <w:sz w:val="28"/>
                <w:szCs w:val="28"/>
                <w:lang w:val="en-US" w:eastAsia="zh-CN"/>
              </w:rPr>
              <w:t>2020</w:t>
            </w:r>
            <w:r>
              <w:rPr>
                <w:rFonts w:ascii="Times New Roman" w:hAnsi="Times New Roman" w:eastAsia="仿宋_GB2312"/>
                <w:snapToGrid w:val="0"/>
                <w:sz w:val="28"/>
                <w:szCs w:val="28"/>
              </w:rPr>
              <w:t>年</w:t>
            </w:r>
            <w:r>
              <w:rPr>
                <w:rFonts w:hint="eastAsia" w:ascii="Times New Roman" w:hAnsi="Times New Roman" w:eastAsia="仿宋_GB2312"/>
                <w:color w:val="000000"/>
                <w:sz w:val="28"/>
                <w:szCs w:val="28"/>
                <w:lang w:val="en-US" w:eastAsia="zh-CN"/>
              </w:rPr>
              <w:t>9</w:t>
            </w:r>
            <w:r>
              <w:rPr>
                <w:rFonts w:ascii="Times New Roman" w:hAnsi="Times New Roman" w:eastAsia="仿宋_GB2312"/>
                <w:snapToGrid w:val="0"/>
                <w:sz w:val="28"/>
                <w:szCs w:val="28"/>
              </w:rPr>
              <w:t>月</w:t>
            </w:r>
            <w:r>
              <w:rPr>
                <w:rFonts w:hint="eastAsia" w:ascii="Times New Roman" w:hAnsi="Times New Roman" w:eastAsia="仿宋_GB2312"/>
                <w:color w:val="000000"/>
                <w:sz w:val="28"/>
                <w:szCs w:val="28"/>
                <w:lang w:val="en-US" w:eastAsia="zh-CN"/>
              </w:rPr>
              <w:t>22</w:t>
            </w:r>
            <w:r>
              <w:rPr>
                <w:rFonts w:ascii="Times New Roman" w:hAnsi="Times New Roman" w:eastAsia="仿宋_GB2312"/>
                <w:snapToGrid w:val="0"/>
                <w:sz w:val="28"/>
                <w:szCs w:val="28"/>
              </w:rPr>
              <w:t>日印发</w:t>
            </w:r>
          </w:p>
        </w:tc>
      </w:tr>
    </w:tbl>
    <w:p>
      <w:pPr>
        <w:pageBreakBefore w:val="0"/>
        <w:kinsoku/>
        <w:wordWrap/>
        <w:topLinePunct w:val="0"/>
        <w:autoSpaceDN/>
        <w:bidi w:val="0"/>
        <w:spacing w:line="560" w:lineRule="exact"/>
        <w:jc w:val="both"/>
        <w:rPr>
          <w:rFonts w:ascii="仿宋_GB2312" w:eastAsia="仿宋_GB2312"/>
          <w:color w:val="000000" w:themeColor="text1"/>
          <w:sz w:val="32"/>
          <w:szCs w:val="32"/>
          <w14:textFill>
            <w14:solidFill>
              <w14:schemeClr w14:val="tx1"/>
            </w14:solidFill>
          </w14:textFill>
        </w:rPr>
      </w:pPr>
    </w:p>
    <w:p>
      <w:pPr>
        <w:ind w:firstLine="600"/>
        <w:rPr>
          <w:rFonts w:ascii="仿宋" w:eastAsia="仿宋"/>
          <w:w w:val="100"/>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A35BE"/>
    <w:rsid w:val="29615F51"/>
    <w:rsid w:val="30E1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99"/>
    <w:pPr>
      <w:keepNext/>
      <w:keepLines/>
      <w:spacing w:before="340" w:after="330" w:line="576" w:lineRule="auto"/>
    </w:pPr>
    <w:rPr>
      <w:rFonts w:ascii="Arial" w:hAnsi="Arial" w:cs="Arial"/>
      <w:b w:val="0"/>
      <w:bCs w:val="0"/>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Cambria" w:hAnsi="Cambria" w:cs="Times New Roman"/>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9">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  马原 ☔</cp:lastModifiedBy>
  <cp:lastPrinted>2020-09-14T03:20:00Z</cp:lastPrinted>
  <dcterms:modified xsi:type="dcterms:W3CDTF">2020-09-22T07:27:46Z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