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AFF" w:rsidRPr="009A3AFF" w:rsidRDefault="009A3AFF" w:rsidP="009A3AFF">
      <w:pPr>
        <w:jc w:val="center"/>
        <w:rPr>
          <w:sz w:val="32"/>
          <w:szCs w:val="32"/>
        </w:rPr>
      </w:pPr>
      <w:r w:rsidRPr="009A3AFF">
        <w:rPr>
          <w:rFonts w:hint="eastAsia"/>
          <w:sz w:val="32"/>
          <w:szCs w:val="32"/>
        </w:rPr>
        <w:t>人大代表建议、政协提案续办、续答复情况表</w:t>
      </w:r>
    </w:p>
    <w:tbl>
      <w:tblPr>
        <w:tblW w:w="949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30"/>
        <w:gridCol w:w="1664"/>
        <w:gridCol w:w="5704"/>
      </w:tblGrid>
      <w:tr w:rsidR="009A3AFF" w:rsidTr="00EA49EE">
        <w:trPr>
          <w:trHeight w:val="615"/>
        </w:trPr>
        <w:tc>
          <w:tcPr>
            <w:tcW w:w="2130" w:type="dxa"/>
            <w:vAlign w:val="center"/>
          </w:tcPr>
          <w:p w:rsidR="009A3AFF" w:rsidRPr="00BD4621" w:rsidRDefault="009A3AFF" w:rsidP="00AF3E8C">
            <w:pPr>
              <w:jc w:val="center"/>
            </w:pPr>
            <w:r w:rsidRPr="00BD4621">
              <w:rPr>
                <w:rFonts w:hint="eastAsia"/>
              </w:rPr>
              <w:t>代表姓名</w:t>
            </w:r>
          </w:p>
        </w:tc>
        <w:tc>
          <w:tcPr>
            <w:tcW w:w="1664" w:type="dxa"/>
            <w:vAlign w:val="center"/>
          </w:tcPr>
          <w:p w:rsidR="009A3AFF" w:rsidRPr="00BD4621" w:rsidRDefault="009A3AFF" w:rsidP="00AF3E8C">
            <w:pPr>
              <w:jc w:val="center"/>
            </w:pPr>
            <w:r>
              <w:rPr>
                <w:rFonts w:hint="eastAsia"/>
              </w:rPr>
              <w:t>杨文</w:t>
            </w:r>
          </w:p>
        </w:tc>
        <w:tc>
          <w:tcPr>
            <w:tcW w:w="5704" w:type="dxa"/>
            <w:vAlign w:val="center"/>
          </w:tcPr>
          <w:p w:rsidR="009A3AFF" w:rsidRPr="00BD4621" w:rsidRDefault="009A3AFF" w:rsidP="009A3AFF">
            <w:r>
              <w:rPr>
                <w:rFonts w:hint="eastAsia"/>
              </w:rPr>
              <w:t>五华区</w:t>
            </w:r>
            <w:r w:rsidRPr="00BD4621">
              <w:rPr>
                <w:rFonts w:hint="eastAsia"/>
              </w:rPr>
              <w:t>人大第</w:t>
            </w:r>
            <w:r>
              <w:rPr>
                <w:rFonts w:hint="eastAsia"/>
              </w:rPr>
              <w:t>十六</w:t>
            </w:r>
            <w:r w:rsidRPr="00BD4621">
              <w:rPr>
                <w:rFonts w:hint="eastAsia"/>
              </w:rPr>
              <w:t>届</w:t>
            </w:r>
            <w:r>
              <w:rPr>
                <w:rFonts w:hint="eastAsia"/>
              </w:rPr>
              <w:t>一</w:t>
            </w:r>
            <w:r w:rsidRPr="00BD4621">
              <w:rPr>
                <w:rFonts w:hint="eastAsia"/>
              </w:rPr>
              <w:t>次会议第</w:t>
            </w:r>
            <w:r>
              <w:rPr>
                <w:rFonts w:hint="eastAsia"/>
              </w:rPr>
              <w:t>180</w:t>
            </w:r>
            <w:r w:rsidRPr="00BD4621">
              <w:rPr>
                <w:rFonts w:hint="eastAsia"/>
              </w:rPr>
              <w:t>号建议</w:t>
            </w:r>
          </w:p>
        </w:tc>
      </w:tr>
      <w:tr w:rsidR="009A3AFF" w:rsidTr="00EA49EE">
        <w:trPr>
          <w:trHeight w:val="526"/>
        </w:trPr>
        <w:tc>
          <w:tcPr>
            <w:tcW w:w="2130" w:type="dxa"/>
            <w:vAlign w:val="center"/>
          </w:tcPr>
          <w:p w:rsidR="009A3AFF" w:rsidRPr="00BD4621" w:rsidRDefault="009A3AFF" w:rsidP="00AF3E8C">
            <w:pPr>
              <w:jc w:val="center"/>
            </w:pPr>
            <w:r w:rsidRPr="00BD4621">
              <w:rPr>
                <w:rFonts w:hint="eastAsia"/>
              </w:rPr>
              <w:t>委员姓名</w:t>
            </w:r>
          </w:p>
        </w:tc>
        <w:tc>
          <w:tcPr>
            <w:tcW w:w="1664" w:type="dxa"/>
            <w:vAlign w:val="center"/>
          </w:tcPr>
          <w:p w:rsidR="009A3AFF" w:rsidRPr="00BD4621" w:rsidRDefault="009A3AFF" w:rsidP="00AF3E8C">
            <w:pPr>
              <w:jc w:val="center"/>
            </w:pPr>
          </w:p>
        </w:tc>
        <w:tc>
          <w:tcPr>
            <w:tcW w:w="5704" w:type="dxa"/>
            <w:vAlign w:val="center"/>
          </w:tcPr>
          <w:p w:rsidR="009A3AFF" w:rsidRPr="00BD4621" w:rsidRDefault="009A3AFF" w:rsidP="00B755C3">
            <w:pPr>
              <w:ind w:firstLineChars="150" w:firstLine="360"/>
            </w:pPr>
            <w:r w:rsidRPr="00BD4621">
              <w:rPr>
                <w:rFonts w:hint="eastAsia"/>
              </w:rPr>
              <w:t>政协第</w:t>
            </w:r>
            <w:r w:rsidRPr="00BD4621">
              <w:rPr>
                <w:rFonts w:hint="eastAsia"/>
              </w:rPr>
              <w:t xml:space="preserve">  </w:t>
            </w:r>
            <w:r w:rsidRPr="00BD4621">
              <w:rPr>
                <w:rFonts w:hint="eastAsia"/>
              </w:rPr>
              <w:t>届</w:t>
            </w:r>
            <w:r w:rsidRPr="00BD4621">
              <w:rPr>
                <w:rFonts w:hint="eastAsia"/>
              </w:rPr>
              <w:t xml:space="preserve">  </w:t>
            </w:r>
            <w:r w:rsidRPr="00BD4621">
              <w:rPr>
                <w:rFonts w:hint="eastAsia"/>
              </w:rPr>
              <w:t>次会议第</w:t>
            </w:r>
            <w:r w:rsidRPr="00BD4621">
              <w:rPr>
                <w:rFonts w:hint="eastAsia"/>
              </w:rPr>
              <w:t xml:space="preserve">    </w:t>
            </w:r>
            <w:r w:rsidRPr="00BD4621">
              <w:rPr>
                <w:rFonts w:hint="eastAsia"/>
              </w:rPr>
              <w:t>号提案</w:t>
            </w:r>
          </w:p>
        </w:tc>
      </w:tr>
      <w:tr w:rsidR="009A3AFF" w:rsidTr="00EA49EE">
        <w:trPr>
          <w:cantSplit/>
          <w:trHeight w:val="595"/>
        </w:trPr>
        <w:tc>
          <w:tcPr>
            <w:tcW w:w="2130" w:type="dxa"/>
            <w:vAlign w:val="center"/>
          </w:tcPr>
          <w:p w:rsidR="009A3AFF" w:rsidRPr="00BD4621" w:rsidRDefault="009A3AFF" w:rsidP="00AF3E8C">
            <w:pPr>
              <w:jc w:val="center"/>
            </w:pPr>
            <w:r w:rsidRPr="00BD4621">
              <w:rPr>
                <w:rFonts w:hint="eastAsia"/>
              </w:rPr>
              <w:t>题</w:t>
            </w:r>
            <w:r>
              <w:rPr>
                <w:rFonts w:hint="eastAsia"/>
              </w:rPr>
              <w:t xml:space="preserve">  </w:t>
            </w:r>
            <w:r w:rsidRPr="00BD4621">
              <w:rPr>
                <w:rFonts w:hint="eastAsia"/>
              </w:rPr>
              <w:t>目</w:t>
            </w:r>
          </w:p>
        </w:tc>
        <w:tc>
          <w:tcPr>
            <w:tcW w:w="7368" w:type="dxa"/>
            <w:gridSpan w:val="2"/>
            <w:vAlign w:val="center"/>
          </w:tcPr>
          <w:p w:rsidR="009A3AFF" w:rsidRPr="00BD4621" w:rsidRDefault="009A3AFF" w:rsidP="00AF3E8C">
            <w:pPr>
              <w:jc w:val="center"/>
            </w:pPr>
            <w:r w:rsidRPr="009A3AFF">
              <w:rPr>
                <w:rFonts w:hint="eastAsia"/>
                <w:b/>
              </w:rPr>
              <w:t>加速云铜集团冶炼厂搬迁建议</w:t>
            </w:r>
          </w:p>
        </w:tc>
      </w:tr>
      <w:tr w:rsidR="009A3AFF" w:rsidTr="00EA49EE">
        <w:trPr>
          <w:cantSplit/>
          <w:trHeight w:val="846"/>
        </w:trPr>
        <w:tc>
          <w:tcPr>
            <w:tcW w:w="2130" w:type="dxa"/>
            <w:vAlign w:val="center"/>
          </w:tcPr>
          <w:p w:rsidR="009A3AFF" w:rsidRPr="00BD4621" w:rsidRDefault="009A3AFF" w:rsidP="00AF3E8C">
            <w:pPr>
              <w:jc w:val="center"/>
            </w:pPr>
            <w:r w:rsidRPr="00BD4621">
              <w:rPr>
                <w:rFonts w:hint="eastAsia"/>
              </w:rPr>
              <w:t>承办单位</w:t>
            </w:r>
          </w:p>
          <w:p w:rsidR="009A3AFF" w:rsidRPr="00BD4621" w:rsidRDefault="009A3AFF" w:rsidP="00AF3E8C">
            <w:pPr>
              <w:jc w:val="center"/>
            </w:pPr>
            <w:r w:rsidRPr="00BD4621">
              <w:rPr>
                <w:rFonts w:hint="eastAsia"/>
              </w:rPr>
              <w:t>（主办单位）</w:t>
            </w:r>
          </w:p>
        </w:tc>
        <w:tc>
          <w:tcPr>
            <w:tcW w:w="7368" w:type="dxa"/>
            <w:gridSpan w:val="2"/>
            <w:vAlign w:val="center"/>
          </w:tcPr>
          <w:p w:rsidR="009A3AFF" w:rsidRPr="00BD4621" w:rsidRDefault="009A3AFF" w:rsidP="00EA49EE">
            <w:pPr>
              <w:jc w:val="center"/>
            </w:pPr>
            <w:r>
              <w:rPr>
                <w:rFonts w:hint="eastAsia"/>
              </w:rPr>
              <w:t>区经贸局、区发改局</w:t>
            </w:r>
          </w:p>
        </w:tc>
      </w:tr>
      <w:tr w:rsidR="009A3AFF" w:rsidTr="00EA49EE">
        <w:trPr>
          <w:cantSplit/>
          <w:trHeight w:val="7551"/>
        </w:trPr>
        <w:tc>
          <w:tcPr>
            <w:tcW w:w="2130" w:type="dxa"/>
            <w:vAlign w:val="center"/>
          </w:tcPr>
          <w:p w:rsidR="00923089" w:rsidRDefault="009A3AFF" w:rsidP="00923089">
            <w:pPr>
              <w:jc w:val="center"/>
            </w:pPr>
            <w:r w:rsidRPr="00BD4621">
              <w:rPr>
                <w:rFonts w:hint="eastAsia"/>
              </w:rPr>
              <w:t>续办、续答复</w:t>
            </w:r>
          </w:p>
          <w:p w:rsidR="009A3AFF" w:rsidRPr="00BD4621" w:rsidRDefault="009A3AFF" w:rsidP="00923089">
            <w:pPr>
              <w:jc w:val="center"/>
            </w:pPr>
            <w:r>
              <w:rPr>
                <w:rFonts w:hint="eastAsia"/>
              </w:rPr>
              <w:t>简要</w:t>
            </w:r>
            <w:r w:rsidRPr="00BD4621">
              <w:rPr>
                <w:rFonts w:hint="eastAsia"/>
              </w:rPr>
              <w:t>情况</w:t>
            </w:r>
          </w:p>
        </w:tc>
        <w:tc>
          <w:tcPr>
            <w:tcW w:w="7368" w:type="dxa"/>
            <w:gridSpan w:val="2"/>
            <w:vAlign w:val="center"/>
          </w:tcPr>
          <w:p w:rsidR="009A3AFF" w:rsidRPr="0002748E" w:rsidRDefault="0002748E" w:rsidP="00A65EAF">
            <w:pPr>
              <w:snapToGrid w:val="0"/>
              <w:ind w:firstLineChars="200" w:firstLine="560"/>
              <w:rPr>
                <w:rFonts w:ascii="Times New Roman" w:eastAsia="仿宋" w:hAnsi="Times New Roman"/>
                <w:sz w:val="28"/>
                <w:szCs w:val="28"/>
              </w:rPr>
            </w:pPr>
            <w:r w:rsidRPr="0002748E">
              <w:rPr>
                <w:rFonts w:ascii="Times New Roman" w:eastAsia="仿宋" w:hAnsi="Times New Roman"/>
                <w:sz w:val="28"/>
                <w:szCs w:val="28"/>
              </w:rPr>
              <w:t>1.</w:t>
            </w:r>
            <w:r w:rsidR="009A3AFF" w:rsidRPr="0002748E">
              <w:rPr>
                <w:rFonts w:ascii="Times New Roman" w:eastAsia="仿宋" w:hAnsi="仿宋"/>
                <w:sz w:val="28"/>
                <w:szCs w:val="28"/>
              </w:rPr>
              <w:t>将云南铜业、云铜锌业、西科工贸三家纳入云南省城镇人口密集区危险化学品生产企业搬迁改造名单上报批准，并经云南省人民政府办公厅印发云南省城镇人口密集区危险化学品生产企业搬迁改造名单的通知得以确认。从省政府层面确立搬迁工作</w:t>
            </w:r>
            <w:r w:rsidR="00A65EAF">
              <w:rPr>
                <w:rFonts w:ascii="Times New Roman" w:eastAsia="仿宋" w:hAnsi="仿宋" w:hint="eastAsia"/>
                <w:sz w:val="28"/>
                <w:szCs w:val="28"/>
              </w:rPr>
              <w:t>，</w:t>
            </w:r>
            <w:r w:rsidR="009A3AFF" w:rsidRPr="0002748E">
              <w:rPr>
                <w:rFonts w:ascii="Times New Roman" w:eastAsia="仿宋" w:hAnsi="仿宋"/>
                <w:sz w:val="28"/>
                <w:szCs w:val="28"/>
              </w:rPr>
              <w:t>提高的执行的有效性。</w:t>
            </w:r>
            <w:r w:rsidR="009A3AFF" w:rsidRPr="0002748E">
              <w:rPr>
                <w:rFonts w:ascii="Times New Roman" w:hAnsi="Times New Roman"/>
                <w:sz w:val="28"/>
                <w:szCs w:val="28"/>
              </w:rPr>
              <w:t>2</w:t>
            </w:r>
            <w:r w:rsidR="009A3AFF" w:rsidRPr="0002748E">
              <w:rPr>
                <w:rFonts w:ascii="Times New Roman" w:eastAsia="仿宋" w:hAnsi="Times New Roman"/>
                <w:sz w:val="28"/>
                <w:szCs w:val="28"/>
              </w:rPr>
              <w:t>.</w:t>
            </w:r>
            <w:r w:rsidR="009A3AFF" w:rsidRPr="0002748E">
              <w:rPr>
                <w:rFonts w:ascii="Times New Roman" w:eastAsia="仿宋" w:hAnsi="仿宋"/>
                <w:sz w:val="28"/>
                <w:szCs w:val="28"/>
              </w:rPr>
              <w:t>五华区政府从</w:t>
            </w:r>
            <w:r w:rsidR="009A3AFF" w:rsidRPr="0002748E">
              <w:rPr>
                <w:rFonts w:ascii="Times New Roman" w:eastAsia="仿宋" w:hAnsi="Times New Roman"/>
                <w:sz w:val="28"/>
                <w:szCs w:val="28"/>
              </w:rPr>
              <w:t>2012</w:t>
            </w:r>
            <w:r w:rsidR="009A3AFF" w:rsidRPr="0002748E">
              <w:rPr>
                <w:rFonts w:ascii="Times New Roman" w:eastAsia="仿宋" w:hAnsi="仿宋"/>
                <w:sz w:val="28"/>
                <w:szCs w:val="28"/>
              </w:rPr>
              <w:t>年起，由昆明市五华区科技产业园投资开发有限公司（以下简称</w:t>
            </w:r>
            <w:r w:rsidR="009A3AFF" w:rsidRPr="0002748E">
              <w:rPr>
                <w:rFonts w:ascii="Times New Roman" w:eastAsia="仿宋" w:hAnsi="Times New Roman"/>
                <w:sz w:val="28"/>
                <w:szCs w:val="28"/>
              </w:rPr>
              <w:t>“</w:t>
            </w:r>
            <w:r w:rsidR="009A3AFF" w:rsidRPr="0002748E">
              <w:rPr>
                <w:rFonts w:ascii="Times New Roman" w:eastAsia="仿宋" w:hAnsi="仿宋"/>
                <w:sz w:val="28"/>
                <w:szCs w:val="28"/>
              </w:rPr>
              <w:t>园投公司</w:t>
            </w:r>
            <w:r w:rsidR="009A3AFF" w:rsidRPr="0002748E">
              <w:rPr>
                <w:rFonts w:ascii="Times New Roman" w:eastAsia="仿宋" w:hAnsi="Times New Roman"/>
                <w:sz w:val="28"/>
                <w:szCs w:val="28"/>
              </w:rPr>
              <w:t>”</w:t>
            </w:r>
            <w:r w:rsidR="009A3AFF" w:rsidRPr="0002748E">
              <w:rPr>
                <w:rFonts w:ascii="Times New Roman" w:eastAsia="仿宋" w:hAnsi="仿宋"/>
                <w:sz w:val="28"/>
                <w:szCs w:val="28"/>
              </w:rPr>
              <w:t>）分期完成了片区地籍调查，完成了吴家营、范家营、林家院、王家桥四个城中村共计</w:t>
            </w:r>
            <w:r w:rsidR="009A3AFF" w:rsidRPr="0002748E">
              <w:rPr>
                <w:rFonts w:ascii="Times New Roman" w:eastAsia="仿宋" w:hAnsi="Times New Roman"/>
                <w:sz w:val="28"/>
                <w:szCs w:val="28"/>
              </w:rPr>
              <w:t>4240</w:t>
            </w:r>
            <w:r w:rsidR="009A3AFF" w:rsidRPr="0002748E">
              <w:rPr>
                <w:rFonts w:ascii="Times New Roman" w:eastAsia="仿宋" w:hAnsi="仿宋"/>
                <w:sz w:val="28"/>
                <w:szCs w:val="28"/>
              </w:rPr>
              <w:t>亩范围内的房调工作。同时，鉴于片区原有控规不具备土地一级开发实施条件，经市政府同意，园投公司又启动了片区控制性详细规划调规工作，目前，调规方案已经多轮研究，目前市规委会审查结束，并进行调规方案公示及入库</w:t>
            </w:r>
            <w:r w:rsidR="00A65EAF">
              <w:rPr>
                <w:rFonts w:ascii="Times New Roman" w:eastAsia="仿宋" w:hAnsi="仿宋" w:hint="eastAsia"/>
                <w:sz w:val="28"/>
                <w:szCs w:val="28"/>
              </w:rPr>
              <w:t>，</w:t>
            </w:r>
            <w:r w:rsidR="009A3AFF" w:rsidRPr="0002748E">
              <w:rPr>
                <w:rFonts w:ascii="Times New Roman" w:eastAsia="仿宋" w:hAnsi="仿宋"/>
                <w:sz w:val="28"/>
                <w:szCs w:val="28"/>
              </w:rPr>
              <w:t>为下步该片区未来发展提供依据。</w:t>
            </w:r>
            <w:r w:rsidRPr="0002748E">
              <w:rPr>
                <w:rFonts w:ascii="Times New Roman" w:eastAsia="黑体" w:hAnsi="Times New Roman"/>
                <w:sz w:val="28"/>
                <w:szCs w:val="28"/>
              </w:rPr>
              <w:t>3.</w:t>
            </w:r>
            <w:r w:rsidR="009A3AFF" w:rsidRPr="0002748E">
              <w:rPr>
                <w:rFonts w:ascii="Times New Roman" w:eastAsia="仿宋" w:hAnsi="仿宋"/>
                <w:sz w:val="28"/>
                <w:szCs w:val="28"/>
              </w:rPr>
              <w:t>云南铜业股份有限公司属中央、省属企业，在推进过程中云铜公司多次建议省、市政府高位统筹，研究搬迁方案及政策措施，请求给予搬迁选址的指导，以帮助企业尽快确定厂址，帮助新工厂降低落地成本，按照</w:t>
            </w:r>
            <w:r w:rsidR="00A65EAF" w:rsidRPr="00A65EAF">
              <w:rPr>
                <w:rFonts w:ascii="仿宋" w:eastAsia="仿宋" w:hAnsi="仿宋" w:hint="eastAsia"/>
                <w:sz w:val="28"/>
                <w:szCs w:val="28"/>
              </w:rPr>
              <w:t>“一企一策”</w:t>
            </w:r>
            <w:r w:rsidR="009A3AFF" w:rsidRPr="00A65EAF">
              <w:rPr>
                <w:rFonts w:ascii="仿宋" w:eastAsia="仿宋" w:hAnsi="仿宋"/>
                <w:sz w:val="28"/>
                <w:szCs w:val="28"/>
              </w:rPr>
              <w:t>的方式开展搬迁工作。云铜搬迁工作已引起省政府高度重视，近期省政府</w:t>
            </w:r>
            <w:r w:rsidR="009A3AFF" w:rsidRPr="0002748E">
              <w:rPr>
                <w:rFonts w:ascii="Times New Roman" w:eastAsia="仿宋" w:hAnsi="仿宋"/>
                <w:sz w:val="28"/>
                <w:szCs w:val="28"/>
              </w:rPr>
              <w:t>对云铜搬迁已召开相关专题会议研究和安排布置</w:t>
            </w:r>
            <w:r w:rsidR="00A65EAF">
              <w:rPr>
                <w:rFonts w:ascii="Times New Roman" w:eastAsia="仿宋" w:hAnsi="仿宋" w:hint="eastAsia"/>
                <w:sz w:val="28"/>
                <w:szCs w:val="28"/>
              </w:rPr>
              <w:t>，</w:t>
            </w:r>
            <w:r w:rsidR="009A3AFF" w:rsidRPr="0002748E">
              <w:rPr>
                <w:rFonts w:ascii="Times New Roman" w:eastAsia="仿宋" w:hAnsi="仿宋"/>
                <w:sz w:val="28"/>
                <w:szCs w:val="28"/>
              </w:rPr>
              <w:t>预计在</w:t>
            </w:r>
            <w:r w:rsidR="009A3AFF" w:rsidRPr="0002748E">
              <w:rPr>
                <w:rFonts w:ascii="Times New Roman" w:eastAsia="仿宋" w:hAnsi="Times New Roman"/>
                <w:sz w:val="28"/>
                <w:szCs w:val="28"/>
              </w:rPr>
              <w:t>2020</w:t>
            </w:r>
            <w:r w:rsidR="009A3AFF" w:rsidRPr="0002748E">
              <w:rPr>
                <w:rFonts w:ascii="Times New Roman" w:eastAsia="仿宋" w:hAnsi="仿宋"/>
                <w:sz w:val="28"/>
                <w:szCs w:val="28"/>
              </w:rPr>
              <w:t>年完成搬迁新选址</w:t>
            </w:r>
            <w:r w:rsidR="00A65EAF">
              <w:rPr>
                <w:rFonts w:ascii="Times New Roman" w:eastAsia="仿宋" w:hAnsi="仿宋" w:hint="eastAsia"/>
                <w:sz w:val="28"/>
                <w:szCs w:val="28"/>
              </w:rPr>
              <w:t>，</w:t>
            </w:r>
            <w:r w:rsidR="009A3AFF" w:rsidRPr="0002748E">
              <w:rPr>
                <w:rFonts w:ascii="Times New Roman" w:eastAsia="仿宋" w:hAnsi="仿宋"/>
                <w:sz w:val="28"/>
                <w:szCs w:val="28"/>
              </w:rPr>
              <w:t>目前工作正在高位统筹推进过程中。</w:t>
            </w:r>
          </w:p>
        </w:tc>
      </w:tr>
      <w:tr w:rsidR="009A3AFF" w:rsidTr="00EA49EE">
        <w:trPr>
          <w:cantSplit/>
          <w:trHeight w:val="2227"/>
        </w:trPr>
        <w:tc>
          <w:tcPr>
            <w:tcW w:w="2130" w:type="dxa"/>
            <w:vAlign w:val="center"/>
          </w:tcPr>
          <w:p w:rsidR="009A3AFF" w:rsidRPr="00BD4621" w:rsidRDefault="009A3AFF" w:rsidP="00AF3E8C">
            <w:pPr>
              <w:jc w:val="center"/>
            </w:pPr>
            <w:r w:rsidRPr="00BD4621">
              <w:rPr>
                <w:rFonts w:hint="eastAsia"/>
              </w:rPr>
              <w:t>代表、委员意见</w:t>
            </w:r>
          </w:p>
        </w:tc>
        <w:tc>
          <w:tcPr>
            <w:tcW w:w="7368" w:type="dxa"/>
            <w:gridSpan w:val="2"/>
            <w:vAlign w:val="center"/>
          </w:tcPr>
          <w:p w:rsidR="009A3AFF" w:rsidRPr="0002748E" w:rsidRDefault="009A3AFF" w:rsidP="0002748E">
            <w:pPr>
              <w:snapToGrid w:val="0"/>
              <w:ind w:firstLineChars="100" w:firstLine="280"/>
              <w:jc w:val="left"/>
              <w:rPr>
                <w:rFonts w:ascii="仿宋" w:eastAsia="仿宋" w:hAnsi="仿宋"/>
                <w:sz w:val="28"/>
                <w:szCs w:val="28"/>
              </w:rPr>
            </w:pPr>
            <w:r w:rsidRPr="0002748E">
              <w:rPr>
                <w:rFonts w:ascii="仿宋" w:eastAsia="仿宋" w:hAnsi="仿宋" w:hint="eastAsia"/>
                <w:sz w:val="28"/>
                <w:szCs w:val="28"/>
              </w:rPr>
              <w:t>上述相关工作进展情况已于2018年11月7日通过电话与提案人杨文，进行联系对接，并将相关情况反馈提案人。提案人对工作的情况表示理解和支持</w:t>
            </w:r>
            <w:r w:rsidR="00A65EAF">
              <w:rPr>
                <w:rFonts w:ascii="仿宋" w:eastAsia="仿宋" w:hAnsi="仿宋" w:hint="eastAsia"/>
                <w:sz w:val="28"/>
                <w:szCs w:val="28"/>
              </w:rPr>
              <w:t>，</w:t>
            </w:r>
            <w:r w:rsidRPr="0002748E">
              <w:rPr>
                <w:rFonts w:ascii="仿宋" w:eastAsia="仿宋" w:hAnsi="仿宋" w:hint="eastAsia"/>
                <w:sz w:val="28"/>
                <w:szCs w:val="28"/>
              </w:rPr>
              <w:t>对工作态度表示满意。</w:t>
            </w:r>
          </w:p>
          <w:p w:rsidR="009A3AFF" w:rsidRDefault="009A3AFF" w:rsidP="000326B0">
            <w:pPr>
              <w:snapToGrid w:val="0"/>
              <w:jc w:val="center"/>
            </w:pPr>
            <w:r w:rsidRPr="0002748E">
              <w:rPr>
                <w:rFonts w:hint="eastAsia"/>
                <w:sz w:val="28"/>
                <w:szCs w:val="28"/>
              </w:rPr>
              <w:t xml:space="preserve">     </w:t>
            </w:r>
            <w:r w:rsidR="000326B0">
              <w:rPr>
                <w:rFonts w:hint="eastAsia"/>
                <w:sz w:val="28"/>
                <w:szCs w:val="28"/>
              </w:rPr>
              <w:t xml:space="preserve"> </w:t>
            </w:r>
          </w:p>
          <w:p w:rsidR="009A3AFF" w:rsidRPr="00BD4621" w:rsidRDefault="009A3AFF" w:rsidP="0002748E">
            <w:pPr>
              <w:jc w:val="center"/>
            </w:pPr>
            <w:r>
              <w:rPr>
                <w:rFonts w:hint="eastAsia"/>
              </w:rPr>
              <w:t xml:space="preserve">                                     </w:t>
            </w:r>
          </w:p>
        </w:tc>
      </w:tr>
      <w:tr w:rsidR="009A3AFF" w:rsidTr="00EA49EE">
        <w:trPr>
          <w:cantSplit/>
          <w:trHeight w:val="461"/>
        </w:trPr>
        <w:tc>
          <w:tcPr>
            <w:tcW w:w="2130" w:type="dxa"/>
            <w:vAlign w:val="center"/>
          </w:tcPr>
          <w:p w:rsidR="009A3AFF" w:rsidRPr="00BD4621" w:rsidRDefault="009A3AFF" w:rsidP="00AF3E8C">
            <w:pPr>
              <w:jc w:val="center"/>
            </w:pPr>
            <w:r>
              <w:rPr>
                <w:rFonts w:hint="eastAsia"/>
              </w:rPr>
              <w:t>备</w:t>
            </w:r>
            <w:r>
              <w:rPr>
                <w:rFonts w:hint="eastAsia"/>
              </w:rPr>
              <w:t xml:space="preserve">   </w:t>
            </w:r>
            <w:r>
              <w:rPr>
                <w:rFonts w:hint="eastAsia"/>
              </w:rPr>
              <w:t>注</w:t>
            </w:r>
          </w:p>
        </w:tc>
        <w:tc>
          <w:tcPr>
            <w:tcW w:w="7368" w:type="dxa"/>
            <w:gridSpan w:val="2"/>
            <w:vAlign w:val="center"/>
          </w:tcPr>
          <w:p w:rsidR="009A3AFF" w:rsidRPr="00BD4621" w:rsidRDefault="00113658" w:rsidP="00AF3E8C">
            <w:pPr>
              <w:jc w:val="center"/>
            </w:pPr>
            <w:r>
              <w:rPr>
                <w:rFonts w:hint="eastAsia"/>
              </w:rPr>
              <w:t>B</w:t>
            </w:r>
          </w:p>
        </w:tc>
      </w:tr>
    </w:tbl>
    <w:p w:rsidR="00E16C89" w:rsidRPr="009A3AFF" w:rsidRDefault="00E16C89" w:rsidP="00EA49EE"/>
    <w:sectPr w:rsidR="00E16C89" w:rsidRPr="009A3AFF" w:rsidSect="00E16C8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3EF1" w:rsidRDefault="00463EF1" w:rsidP="0002748E">
      <w:r>
        <w:separator/>
      </w:r>
    </w:p>
  </w:endnote>
  <w:endnote w:type="continuationSeparator" w:id="1">
    <w:p w:rsidR="00463EF1" w:rsidRDefault="00463EF1" w:rsidP="000274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3EF1" w:rsidRDefault="00463EF1" w:rsidP="0002748E">
      <w:r>
        <w:separator/>
      </w:r>
    </w:p>
  </w:footnote>
  <w:footnote w:type="continuationSeparator" w:id="1">
    <w:p w:rsidR="00463EF1" w:rsidRDefault="00463EF1" w:rsidP="000274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3AFF"/>
    <w:rsid w:val="0002748E"/>
    <w:rsid w:val="000326B0"/>
    <w:rsid w:val="00113658"/>
    <w:rsid w:val="00143C56"/>
    <w:rsid w:val="0041773A"/>
    <w:rsid w:val="00463EF1"/>
    <w:rsid w:val="00703B26"/>
    <w:rsid w:val="00923089"/>
    <w:rsid w:val="009A3AFF"/>
    <w:rsid w:val="00A65EAF"/>
    <w:rsid w:val="00B755C3"/>
    <w:rsid w:val="00D57577"/>
    <w:rsid w:val="00E16C89"/>
    <w:rsid w:val="00EA49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dot1正文"/>
    <w:qFormat/>
    <w:rsid w:val="009A3AFF"/>
    <w:pPr>
      <w:widowControl w:val="0"/>
      <w:jc w:val="both"/>
    </w:pPr>
    <w:rPr>
      <w:rFonts w:ascii="Calibri" w:eastAsia="宋体" w:hAnsi="Calibri"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274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2748E"/>
    <w:rPr>
      <w:rFonts w:ascii="Calibri" w:eastAsia="宋体" w:hAnsi="Calibri" w:cs="Times New Roman"/>
      <w:sz w:val="18"/>
      <w:szCs w:val="18"/>
    </w:rPr>
  </w:style>
  <w:style w:type="paragraph" w:styleId="a4">
    <w:name w:val="footer"/>
    <w:basedOn w:val="a"/>
    <w:link w:val="Char0"/>
    <w:uiPriority w:val="99"/>
    <w:semiHidden/>
    <w:unhideWhenUsed/>
    <w:rsid w:val="0002748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2748E"/>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jmj b</dc:creator>
  <cp:lastModifiedBy>USER-</cp:lastModifiedBy>
  <cp:revision>9</cp:revision>
  <dcterms:created xsi:type="dcterms:W3CDTF">2018-11-07T09:00:00Z</dcterms:created>
  <dcterms:modified xsi:type="dcterms:W3CDTF">2018-11-12T07:48:00Z</dcterms:modified>
</cp:coreProperties>
</file>