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E9" w:rsidRDefault="008B6AE9" w:rsidP="008B6AE9">
      <w:pPr>
        <w:spacing w:line="300" w:lineRule="exact"/>
        <w:ind w:rightChars="-108" w:right="-227"/>
        <w:jc w:val="center"/>
        <w:rPr>
          <w:rFonts w:ascii="黑体" w:eastAsia="黑体" w:hAnsi="黑体"/>
          <w:sz w:val="32"/>
          <w:szCs w:val="32"/>
        </w:rPr>
      </w:pPr>
      <w:r>
        <w:rPr>
          <w:rFonts w:ascii="黑体" w:eastAsia="黑体" w:hAnsi="黑体" w:hint="eastAsia"/>
          <w:sz w:val="32"/>
          <w:szCs w:val="32"/>
        </w:rPr>
        <w:t>招商项目书</w:t>
      </w:r>
    </w:p>
    <w:p w:rsidR="0020738B" w:rsidRDefault="0020738B" w:rsidP="008B6AE9">
      <w:pPr>
        <w:spacing w:line="300" w:lineRule="exact"/>
        <w:ind w:rightChars="-108" w:right="-227"/>
        <w:jc w:val="center"/>
        <w:rPr>
          <w:rFonts w:ascii="黑体" w:eastAsia="黑体" w:hAnsi="黑体"/>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64"/>
      </w:tblGrid>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项目名称</w:t>
            </w:r>
          </w:p>
        </w:tc>
        <w:tc>
          <w:tcPr>
            <w:tcW w:w="7264" w:type="dxa"/>
            <w:tcBorders>
              <w:top w:val="single" w:sz="4" w:space="0" w:color="auto"/>
              <w:left w:val="single" w:sz="4" w:space="0" w:color="auto"/>
              <w:bottom w:val="single" w:sz="4" w:space="0" w:color="auto"/>
              <w:right w:val="single" w:sz="4" w:space="0" w:color="auto"/>
            </w:tcBorders>
          </w:tcPr>
          <w:p w:rsidR="008B6AE9" w:rsidRPr="002F759A" w:rsidRDefault="0015409F">
            <w:pPr>
              <w:spacing w:line="300" w:lineRule="exact"/>
              <w:ind w:rightChars="-108" w:right="-227"/>
              <w:rPr>
                <w:rFonts w:asciiTheme="minorEastAsia" w:eastAsiaTheme="minorEastAsia" w:hAnsiTheme="minorEastAsia"/>
                <w:kern w:val="0"/>
                <w:szCs w:val="21"/>
              </w:rPr>
            </w:pPr>
            <w:proofErr w:type="gramStart"/>
            <w:r w:rsidRPr="002F759A">
              <w:rPr>
                <w:rFonts w:asciiTheme="minorEastAsia" w:eastAsiaTheme="minorEastAsia" w:hAnsiTheme="minorEastAsia" w:hint="eastAsia"/>
                <w:kern w:val="0"/>
                <w:szCs w:val="21"/>
              </w:rPr>
              <w:t>虹山</w:t>
            </w:r>
            <w:r w:rsidRPr="002F759A">
              <w:rPr>
                <w:rFonts w:asciiTheme="minorEastAsia" w:eastAsiaTheme="minorEastAsia" w:hAnsiTheme="minorEastAsia"/>
                <w:kern w:val="0"/>
                <w:szCs w:val="21"/>
              </w:rPr>
              <w:t>煤气</w:t>
            </w:r>
            <w:proofErr w:type="gramEnd"/>
            <w:r w:rsidRPr="002F759A">
              <w:rPr>
                <w:rFonts w:asciiTheme="minorEastAsia" w:eastAsiaTheme="minorEastAsia" w:hAnsiTheme="minorEastAsia"/>
                <w:kern w:val="0"/>
                <w:szCs w:val="21"/>
              </w:rPr>
              <w:t>储配</w:t>
            </w:r>
            <w:proofErr w:type="gramStart"/>
            <w:r w:rsidRPr="002F759A">
              <w:rPr>
                <w:rFonts w:asciiTheme="minorEastAsia" w:eastAsiaTheme="minorEastAsia" w:hAnsiTheme="minorEastAsia"/>
                <w:kern w:val="0"/>
                <w:szCs w:val="21"/>
              </w:rPr>
              <w:t>站</w:t>
            </w:r>
            <w:r w:rsidRPr="002F759A">
              <w:rPr>
                <w:rFonts w:asciiTheme="minorEastAsia" w:eastAsiaTheme="minorEastAsia" w:hAnsiTheme="minorEastAsia" w:hint="eastAsia"/>
                <w:kern w:val="0"/>
                <w:szCs w:val="21"/>
              </w:rPr>
              <w:t>文创项目</w:t>
            </w:r>
            <w:proofErr w:type="gramEnd"/>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项目所属行业</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文化创意</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项目主办</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单位</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rsidP="0015409F">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w:t>
            </w:r>
            <w:r w:rsidR="0015409F">
              <w:rPr>
                <w:rFonts w:asciiTheme="minorEastAsia" w:eastAsiaTheme="minorEastAsia" w:hAnsiTheme="minorEastAsia" w:hint="eastAsia"/>
                <w:kern w:val="0"/>
                <w:szCs w:val="21"/>
              </w:rPr>
              <w:t>丰宁街道办事处</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项目建设地点</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rsidP="0015409F">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五华区</w:t>
            </w:r>
            <w:proofErr w:type="gramStart"/>
            <w:r w:rsidR="0015409F">
              <w:rPr>
                <w:rFonts w:asciiTheme="minorEastAsia" w:eastAsiaTheme="minorEastAsia" w:hAnsiTheme="minorEastAsia" w:hint="eastAsia"/>
                <w:kern w:val="0"/>
                <w:szCs w:val="21"/>
              </w:rPr>
              <w:t>长虹路</w:t>
            </w:r>
            <w:proofErr w:type="gramEnd"/>
            <w:r w:rsidR="0015409F">
              <w:rPr>
                <w:rFonts w:asciiTheme="minorEastAsia" w:eastAsiaTheme="minorEastAsia" w:hAnsiTheme="minorEastAsia" w:hint="eastAsia"/>
                <w:kern w:val="0"/>
                <w:szCs w:val="21"/>
              </w:rPr>
              <w:t>1号</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建设性质</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改扩</w:t>
            </w:r>
            <w:r w:rsidR="00256B94" w:rsidRPr="002F16CA">
              <w:rPr>
                <w:rFonts w:asciiTheme="minorEastAsia" w:eastAsiaTheme="minorEastAsia" w:hAnsiTheme="minorEastAsia" w:hint="eastAsia"/>
                <w:kern w:val="0"/>
                <w:szCs w:val="21"/>
              </w:rPr>
              <w:t>建</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项目简述</w:t>
            </w:r>
          </w:p>
        </w:tc>
        <w:tc>
          <w:tcPr>
            <w:tcW w:w="7264" w:type="dxa"/>
            <w:tcBorders>
              <w:top w:val="single" w:sz="4" w:space="0" w:color="auto"/>
              <w:left w:val="single" w:sz="4" w:space="0" w:color="auto"/>
              <w:bottom w:val="single" w:sz="4" w:space="0" w:color="auto"/>
              <w:right w:val="single" w:sz="4" w:space="0" w:color="auto"/>
            </w:tcBorders>
          </w:tcPr>
          <w:p w:rsidR="008B6AE9" w:rsidRPr="0015409F" w:rsidRDefault="0015409F" w:rsidP="00C41C25">
            <w:pPr>
              <w:spacing w:line="300" w:lineRule="exact"/>
              <w:rPr>
                <w:rFonts w:asciiTheme="minorEastAsia" w:eastAsiaTheme="minorEastAsia" w:hAnsiTheme="minorEastAsia"/>
                <w:kern w:val="0"/>
                <w:szCs w:val="21"/>
              </w:rPr>
            </w:pPr>
            <w:proofErr w:type="gramStart"/>
            <w:r w:rsidRPr="0015409F">
              <w:rPr>
                <w:rFonts w:asciiTheme="minorEastAsia" w:eastAsiaTheme="minorEastAsia" w:hAnsiTheme="minorEastAsia" w:hint="eastAsia"/>
                <w:kern w:val="0"/>
                <w:szCs w:val="21"/>
              </w:rPr>
              <w:t>对</w:t>
            </w:r>
            <w:r w:rsidR="00C41C25" w:rsidRPr="002F759A">
              <w:rPr>
                <w:rFonts w:asciiTheme="minorEastAsia" w:eastAsiaTheme="minorEastAsia" w:hAnsiTheme="minorEastAsia" w:hint="eastAsia"/>
                <w:kern w:val="0"/>
                <w:szCs w:val="21"/>
              </w:rPr>
              <w:t>虹山</w:t>
            </w:r>
            <w:proofErr w:type="gramEnd"/>
            <w:r w:rsidR="00C41C25" w:rsidRPr="002F759A">
              <w:rPr>
                <w:rFonts w:asciiTheme="minorEastAsia" w:eastAsiaTheme="minorEastAsia" w:hAnsiTheme="minorEastAsia"/>
                <w:kern w:val="0"/>
                <w:szCs w:val="21"/>
              </w:rPr>
              <w:t>煤气储配站</w:t>
            </w:r>
            <w:r w:rsidR="00C41C25">
              <w:rPr>
                <w:rFonts w:asciiTheme="minorEastAsia" w:eastAsiaTheme="minorEastAsia" w:hAnsiTheme="minorEastAsia" w:hint="eastAsia"/>
                <w:kern w:val="0"/>
                <w:szCs w:val="21"/>
              </w:rPr>
              <w:t>的旧工业建筑</w:t>
            </w:r>
            <w:r w:rsidRPr="0015409F">
              <w:rPr>
                <w:rFonts w:asciiTheme="minorEastAsia" w:eastAsiaTheme="minorEastAsia" w:hAnsiTheme="minorEastAsia" w:hint="eastAsia"/>
                <w:kern w:val="0"/>
                <w:szCs w:val="21"/>
              </w:rPr>
              <w:t>转型再利用</w:t>
            </w:r>
            <w:r w:rsidR="00C41C25">
              <w:rPr>
                <w:rFonts w:asciiTheme="minorEastAsia" w:eastAsiaTheme="minorEastAsia" w:hAnsiTheme="minorEastAsia" w:hint="eastAsia"/>
                <w:kern w:val="0"/>
                <w:szCs w:val="21"/>
              </w:rPr>
              <w:t>，基于原有工业建筑的结构特征和文化品质</w:t>
            </w:r>
            <w:r w:rsidRPr="0015409F">
              <w:rPr>
                <w:rFonts w:asciiTheme="minorEastAsia" w:eastAsiaTheme="minorEastAsia" w:hAnsiTheme="minorEastAsia" w:hint="eastAsia"/>
                <w:kern w:val="0"/>
                <w:szCs w:val="21"/>
              </w:rPr>
              <w:t>进行的二次设计和建设，创造性</w:t>
            </w:r>
            <w:r w:rsidR="00C41C25" w:rsidRPr="0015409F">
              <w:rPr>
                <w:rFonts w:asciiTheme="minorEastAsia" w:eastAsiaTheme="minorEastAsia" w:hAnsiTheme="minorEastAsia" w:hint="eastAsia"/>
                <w:kern w:val="0"/>
                <w:szCs w:val="21"/>
              </w:rPr>
              <w:t>使用功能进行重构和转换</w:t>
            </w:r>
            <w:r w:rsidR="00C41C25">
              <w:rPr>
                <w:rFonts w:asciiTheme="minorEastAsia" w:eastAsiaTheme="minorEastAsia" w:hAnsiTheme="minorEastAsia" w:hint="eastAsia"/>
                <w:kern w:val="0"/>
                <w:szCs w:val="21"/>
              </w:rPr>
              <w:t>，</w:t>
            </w:r>
            <w:r w:rsidRPr="0015409F">
              <w:rPr>
                <w:rFonts w:asciiTheme="minorEastAsia" w:eastAsiaTheme="minorEastAsia" w:hAnsiTheme="minorEastAsia" w:hint="eastAsia"/>
                <w:kern w:val="0"/>
                <w:szCs w:val="21"/>
              </w:rPr>
              <w:t>挖掘旧有工业建筑的适应性潜力，增加了这些建筑本身生存的活力，</w:t>
            </w:r>
            <w:r w:rsidR="00C41C25">
              <w:rPr>
                <w:rFonts w:asciiTheme="minorEastAsia" w:eastAsiaTheme="minorEastAsia" w:hAnsiTheme="minorEastAsia" w:hint="eastAsia"/>
                <w:kern w:val="0"/>
                <w:szCs w:val="21"/>
              </w:rPr>
              <w:t>使文化创意产业在旧的工业建筑中绽放新的活力。</w:t>
            </w:r>
            <w:r w:rsidR="00C41C25" w:rsidRPr="0015409F">
              <w:rPr>
                <w:rFonts w:asciiTheme="minorEastAsia" w:eastAsiaTheme="minorEastAsia" w:hAnsiTheme="minorEastAsia"/>
                <w:kern w:val="0"/>
                <w:szCs w:val="21"/>
              </w:rPr>
              <w:t xml:space="preserve"> </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项目实施</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依据</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五华科技产业园管委会扶持园区产业发展的若干政策</w:t>
            </w:r>
          </w:p>
          <w:p w:rsidR="00256B94"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五华科技产业园管委会关于促进昆明广告文化产业园发展的暂行办法</w:t>
            </w:r>
          </w:p>
          <w:p w:rsidR="003603BC"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五华科技产业园管委会一站式公共服务平台管理办法（暂行）</w:t>
            </w:r>
          </w:p>
          <w:p w:rsidR="003603BC"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w:t>
            </w:r>
            <w:proofErr w:type="gramStart"/>
            <w:r w:rsidRPr="002F16CA">
              <w:rPr>
                <w:rFonts w:asciiTheme="minorEastAsia" w:eastAsiaTheme="minorEastAsia" w:hAnsiTheme="minorEastAsia" w:hint="eastAsia"/>
                <w:kern w:val="0"/>
                <w:szCs w:val="21"/>
              </w:rPr>
              <w:t>区稳增长促</w:t>
            </w:r>
            <w:proofErr w:type="gramEnd"/>
            <w:r w:rsidRPr="002F16CA">
              <w:rPr>
                <w:rFonts w:asciiTheme="minorEastAsia" w:eastAsiaTheme="minorEastAsia" w:hAnsiTheme="minorEastAsia" w:hint="eastAsia"/>
                <w:kern w:val="0"/>
                <w:szCs w:val="21"/>
              </w:rPr>
              <w:t>发展若干政策措施</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项目在本地区</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的作用与地位</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C41C25">
            <w:pPr>
              <w:spacing w:line="3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围绕</w:t>
            </w:r>
            <w:proofErr w:type="gramStart"/>
            <w:r>
              <w:rPr>
                <w:rFonts w:asciiTheme="minorEastAsia" w:eastAsiaTheme="minorEastAsia" w:hAnsiTheme="minorEastAsia" w:hint="eastAsia"/>
                <w:kern w:val="0"/>
                <w:szCs w:val="21"/>
              </w:rPr>
              <w:t>金鼎山昆明</w:t>
            </w:r>
            <w:proofErr w:type="gramEnd"/>
            <w:r>
              <w:rPr>
                <w:rFonts w:asciiTheme="minorEastAsia" w:eastAsiaTheme="minorEastAsia" w:hAnsiTheme="minorEastAsia" w:hint="eastAsia"/>
                <w:kern w:val="0"/>
                <w:szCs w:val="21"/>
              </w:rPr>
              <w:t>国家广告产业园，</w:t>
            </w:r>
            <w:r w:rsidR="003603BC" w:rsidRPr="002F16CA">
              <w:rPr>
                <w:rFonts w:asciiTheme="minorEastAsia" w:eastAsiaTheme="minorEastAsia" w:hAnsiTheme="minorEastAsia" w:hint="eastAsia"/>
                <w:kern w:val="0"/>
                <w:szCs w:val="21"/>
              </w:rPr>
              <w:t>形成“</w:t>
            </w:r>
            <w:proofErr w:type="gramStart"/>
            <w:r w:rsidR="003603BC" w:rsidRPr="002F16CA">
              <w:rPr>
                <w:rFonts w:asciiTheme="minorEastAsia" w:eastAsiaTheme="minorEastAsia" w:hAnsiTheme="minorEastAsia" w:hint="eastAsia"/>
                <w:kern w:val="0"/>
                <w:szCs w:val="21"/>
              </w:rPr>
              <w:t>一</w:t>
            </w:r>
            <w:proofErr w:type="gramEnd"/>
            <w:r w:rsidR="003603BC" w:rsidRPr="002F16CA">
              <w:rPr>
                <w:rFonts w:asciiTheme="minorEastAsia" w:eastAsiaTheme="minorEastAsia" w:hAnsiTheme="minorEastAsia" w:hint="eastAsia"/>
                <w:kern w:val="0"/>
                <w:szCs w:val="21"/>
              </w:rPr>
              <w:t>核多分园”的空间发展布局，近期园区将围绕（1）彰显园区特色，打造互联网+文化创意产业集群（2）</w:t>
            </w:r>
            <w:r w:rsidR="003603BC" w:rsidRPr="002F16CA">
              <w:rPr>
                <w:rFonts w:asciiTheme="minorEastAsia" w:eastAsiaTheme="minorEastAsia" w:hAnsiTheme="minorEastAsia" w:hint="eastAsia"/>
                <w:kern w:val="0"/>
                <w:szCs w:val="21"/>
                <w:lang w:val="zh-TW"/>
              </w:rPr>
              <w:t>创新机制体制，构筑政策洼地（</w:t>
            </w:r>
            <w:r w:rsidR="003603BC" w:rsidRPr="002F16CA">
              <w:rPr>
                <w:rFonts w:asciiTheme="minorEastAsia" w:eastAsiaTheme="minorEastAsia" w:hAnsiTheme="minorEastAsia" w:hint="eastAsia"/>
                <w:kern w:val="0"/>
                <w:szCs w:val="21"/>
              </w:rPr>
              <w:t>3</w:t>
            </w:r>
            <w:r w:rsidR="003603BC" w:rsidRPr="002F16CA">
              <w:rPr>
                <w:rFonts w:asciiTheme="minorEastAsia" w:eastAsiaTheme="minorEastAsia" w:hAnsiTheme="minorEastAsia" w:hint="eastAsia"/>
                <w:kern w:val="0"/>
                <w:szCs w:val="21"/>
                <w:lang w:val="zh-TW"/>
              </w:rPr>
              <w:t>）</w:t>
            </w:r>
            <w:r w:rsidR="003603BC" w:rsidRPr="002F16CA">
              <w:rPr>
                <w:rFonts w:asciiTheme="minorEastAsia" w:eastAsiaTheme="minorEastAsia" w:hAnsiTheme="minorEastAsia" w:hint="eastAsia"/>
                <w:kern w:val="0"/>
                <w:szCs w:val="21"/>
              </w:rPr>
              <w:t>创新金融手段（4）</w:t>
            </w:r>
            <w:r w:rsidR="003603BC" w:rsidRPr="002F16CA">
              <w:rPr>
                <w:rFonts w:asciiTheme="minorEastAsia" w:eastAsiaTheme="minorEastAsia" w:hAnsiTheme="minorEastAsia" w:hint="eastAsia"/>
                <w:kern w:val="0"/>
                <w:szCs w:val="21"/>
                <w:lang w:val="zh-TW"/>
              </w:rPr>
              <w:t>创新产业发展思路，强化辐射带动作用（</w:t>
            </w:r>
            <w:r w:rsidR="003603BC" w:rsidRPr="002F16CA">
              <w:rPr>
                <w:rFonts w:asciiTheme="minorEastAsia" w:eastAsiaTheme="minorEastAsia" w:hAnsiTheme="minorEastAsia" w:hint="eastAsia"/>
                <w:kern w:val="0"/>
                <w:szCs w:val="21"/>
              </w:rPr>
              <w:t>5</w:t>
            </w:r>
            <w:r w:rsidR="003603BC" w:rsidRPr="002F16CA">
              <w:rPr>
                <w:rFonts w:asciiTheme="minorEastAsia" w:eastAsiaTheme="minorEastAsia" w:hAnsiTheme="minorEastAsia" w:hint="eastAsia"/>
                <w:kern w:val="0"/>
                <w:szCs w:val="21"/>
                <w:lang w:val="zh-TW"/>
              </w:rPr>
              <w:t>）</w:t>
            </w:r>
            <w:r w:rsidR="003603BC" w:rsidRPr="002F16CA">
              <w:rPr>
                <w:rFonts w:asciiTheme="minorEastAsia" w:eastAsiaTheme="minorEastAsia" w:hAnsiTheme="minorEastAsia" w:hint="eastAsia"/>
                <w:kern w:val="0"/>
                <w:szCs w:val="21"/>
              </w:rPr>
              <w:t>加强服务平台建设，引导产业聚集等方面开展工作。</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建设地点的自然</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条件和社会经济</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情况简述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706F34" w:rsidP="0046214D">
            <w:pPr>
              <w:spacing w:line="300" w:lineRule="exact"/>
              <w:ind w:rightChars="-51" w:right="-10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项目</w:t>
            </w:r>
            <w:r w:rsidR="0046214D" w:rsidRPr="0046214D">
              <w:rPr>
                <w:rFonts w:asciiTheme="minorEastAsia" w:eastAsiaTheme="minorEastAsia" w:hAnsiTheme="minorEastAsia" w:hint="eastAsia"/>
                <w:kern w:val="0"/>
                <w:szCs w:val="21"/>
              </w:rPr>
              <w:t>位于昆明市主城五华区一环边长虹路上，临近学府路，与昆明市中心翠湖公园直线距离1.9公里</w:t>
            </w:r>
            <w:r w:rsidR="0046214D">
              <w:rPr>
                <w:rFonts w:asciiTheme="minorEastAsia" w:eastAsiaTheme="minorEastAsia" w:hAnsiTheme="minorEastAsia" w:hint="eastAsia"/>
                <w:kern w:val="0"/>
                <w:szCs w:val="21"/>
              </w:rPr>
              <w:t>，</w:t>
            </w:r>
            <w:r w:rsidRPr="002F16CA">
              <w:rPr>
                <w:rFonts w:asciiTheme="minorEastAsia" w:eastAsiaTheme="minorEastAsia" w:hAnsiTheme="minorEastAsia" w:hint="eastAsia"/>
                <w:kern w:val="0"/>
                <w:szCs w:val="21"/>
              </w:rPr>
              <w:t>周边交通便利，</w:t>
            </w:r>
            <w:r w:rsidR="003603BC" w:rsidRPr="002F16CA">
              <w:rPr>
                <w:rFonts w:asciiTheme="minorEastAsia" w:eastAsiaTheme="minorEastAsia" w:hAnsiTheme="minorEastAsia" w:hint="eastAsia"/>
                <w:kern w:val="0"/>
                <w:szCs w:val="21"/>
              </w:rPr>
              <w:t>地理位置优越，配套设施完善，各级政府部门高度关注</w:t>
            </w:r>
            <w:r w:rsidR="0046214D">
              <w:rPr>
                <w:rFonts w:asciiTheme="minorEastAsia" w:eastAsiaTheme="minorEastAsia" w:hAnsiTheme="minorEastAsia" w:hint="eastAsia"/>
                <w:kern w:val="0"/>
                <w:szCs w:val="21"/>
              </w:rPr>
              <w:t>。</w:t>
            </w:r>
            <w:r w:rsidR="0046214D" w:rsidRPr="0046214D">
              <w:rPr>
                <w:rFonts w:asciiTheme="minorEastAsia" w:eastAsiaTheme="minorEastAsia" w:hAnsiTheme="minorEastAsia" w:hint="eastAsia"/>
                <w:kern w:val="0"/>
                <w:szCs w:val="21"/>
              </w:rPr>
              <w:t>周边昆明理工、云南大学、云南师范大学、云南民族大学等大学及科研机构聚集，人文资源和氛围浓厚</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内容</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706F3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构筑完整的广告文化创意产业链，实现产业链招商，形成独具特色的广告文化创意企业集群。</w:t>
            </w:r>
          </w:p>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项目建设地施工</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条件</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51" w:right="-10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项目主要原料、</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辅料资源供应及</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劳动力资源可利</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用情况</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pStyle w:val="a3"/>
              <w:tabs>
                <w:tab w:val="right" w:leader="hyphen" w:pos="8310"/>
              </w:tabs>
              <w:snapToGrid w:val="0"/>
              <w:spacing w:line="300" w:lineRule="exact"/>
              <w:ind w:rightChars="-51" w:right="-107"/>
              <w:outlineLvl w:val="1"/>
              <w:rPr>
                <w:rFonts w:asciiTheme="minorEastAsia" w:eastAsiaTheme="minorEastAsia" w:hAnsiTheme="minorEastAsia"/>
                <w:kern w:val="0"/>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交通运输</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情况</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46214D" w:rsidP="00B11104">
            <w:pPr>
              <w:pStyle w:val="a6"/>
              <w:shd w:val="clear" w:color="auto" w:fill="FFFFFF"/>
              <w:spacing w:before="0" w:beforeAutospacing="0" w:after="0" w:afterAutospacing="0" w:line="360" w:lineRule="atLeast"/>
              <w:ind w:firstLine="480"/>
              <w:rPr>
                <w:rFonts w:asciiTheme="minorEastAsia" w:eastAsiaTheme="minorEastAsia" w:hAnsiTheme="minorEastAsia"/>
                <w:sz w:val="21"/>
                <w:szCs w:val="21"/>
              </w:rPr>
            </w:pPr>
            <w:r w:rsidRPr="0046214D">
              <w:rPr>
                <w:rFonts w:asciiTheme="minorEastAsia" w:eastAsiaTheme="minorEastAsia" w:hAnsiTheme="minorEastAsia" w:cs="Arial" w:hint="eastAsia"/>
                <w:color w:val="000000"/>
                <w:sz w:val="21"/>
                <w:szCs w:val="21"/>
              </w:rPr>
              <w:t>地块位置位于昆明市主城五华区一环边长虹路上，临近学府路，与昆明市中心翠湖公园直线距离1.9公里。</w:t>
            </w:r>
            <w:r w:rsidR="00B11104" w:rsidRPr="002F16CA">
              <w:rPr>
                <w:rFonts w:asciiTheme="minorEastAsia" w:eastAsiaTheme="minorEastAsia" w:hAnsiTheme="minorEastAsia" w:cs="Arial"/>
                <w:color w:val="000000"/>
                <w:sz w:val="21"/>
                <w:szCs w:val="21"/>
              </w:rPr>
              <w:t>  </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工艺技术</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方案简述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项目前期准备工</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作及进展情况</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46214D">
            <w:pPr>
              <w:spacing w:line="300" w:lineRule="exact"/>
              <w:ind w:rightChars="-51" w:right="-107"/>
              <w:rPr>
                <w:rFonts w:asciiTheme="minorEastAsia" w:eastAsiaTheme="minorEastAsia" w:hAnsiTheme="minorEastAsia"/>
                <w:kern w:val="0"/>
                <w:szCs w:val="21"/>
              </w:rPr>
            </w:pPr>
            <w:r w:rsidRPr="0046214D">
              <w:rPr>
                <w:rFonts w:asciiTheme="minorEastAsia" w:eastAsiaTheme="minorEastAsia" w:hAnsiTheme="minorEastAsia" w:hint="eastAsia"/>
                <w:kern w:val="0"/>
                <w:szCs w:val="21"/>
              </w:rPr>
              <w:t>现有湿式10万方人工煤气储气柜两座，地面调压站、办公楼、厂房、仓库等设施，共占地100亩</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项目可享受的优</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惠政策</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五华科技产业园管理委员会扶持产业发展相关政策（试行）</w:t>
            </w:r>
          </w:p>
          <w:p w:rsidR="00B11104"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五华科技产业园扶持产业发展相关政策实施细则(试行)</w:t>
            </w:r>
          </w:p>
          <w:p w:rsidR="00B11104" w:rsidRPr="002F16CA" w:rsidRDefault="00B11104" w:rsidP="002F759A">
            <w:pPr>
              <w:spacing w:line="300" w:lineRule="exact"/>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项目对环境影响</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的初步评估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pStyle w:val="a3"/>
              <w:tabs>
                <w:tab w:val="right" w:leader="hyphen" w:pos="8310"/>
              </w:tabs>
              <w:snapToGrid w:val="0"/>
              <w:spacing w:line="300" w:lineRule="exact"/>
              <w:ind w:rightChars="-108" w:right="-227"/>
              <w:rPr>
                <w:rFonts w:asciiTheme="minorEastAsia" w:eastAsiaTheme="minorEastAsia" w:hAnsiTheme="minorEastAsia"/>
                <w:kern w:val="0"/>
              </w:rPr>
            </w:pPr>
            <w:r w:rsidRPr="002F16CA">
              <w:rPr>
                <w:rFonts w:asciiTheme="minorEastAsia" w:eastAsiaTheme="minorEastAsia" w:hAnsiTheme="minorEastAsia" w:hint="eastAsia"/>
                <w:kern w:val="0"/>
              </w:rPr>
              <w:t>无</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投资估算及资金</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lastRenderedPageBreak/>
              <w:t>筹措</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lastRenderedPageBreak/>
              <w:t>产品或服务的市</w:t>
            </w:r>
          </w:p>
          <w:p w:rsidR="008B6AE9" w:rsidRDefault="008B6AE9">
            <w:pPr>
              <w:spacing w:line="300" w:lineRule="exact"/>
              <w:ind w:rightChars="-108" w:right="-227"/>
              <w:jc w:val="center"/>
              <w:rPr>
                <w:rFonts w:ascii="宋体" w:hAnsi="宋体"/>
                <w:b/>
                <w:kern w:val="0"/>
                <w:szCs w:val="21"/>
              </w:rPr>
            </w:pPr>
            <w:proofErr w:type="gramStart"/>
            <w:r>
              <w:rPr>
                <w:rFonts w:ascii="宋体" w:hAnsi="宋体" w:hint="eastAsia"/>
                <w:b/>
                <w:kern w:val="0"/>
                <w:szCs w:val="21"/>
              </w:rPr>
              <w:t>场预测</w:t>
            </w:r>
            <w:proofErr w:type="gramEnd"/>
            <w:r>
              <w:rPr>
                <w:rFonts w:ascii="宋体" w:hAnsi="宋体" w:hint="eastAsia"/>
                <w:b/>
                <w:kern w:val="0"/>
                <w:szCs w:val="21"/>
              </w:rPr>
              <w:t>及分析</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51" w:right="-10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初步经济效益分</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析</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pStyle w:val="a3"/>
              <w:tabs>
                <w:tab w:val="right" w:leader="hyphen" w:pos="8310"/>
              </w:tabs>
              <w:snapToGrid w:val="0"/>
              <w:spacing w:line="300" w:lineRule="exact"/>
              <w:ind w:rightChars="-108" w:right="-227"/>
              <w:outlineLvl w:val="1"/>
              <w:rPr>
                <w:rFonts w:asciiTheme="minorEastAsia" w:eastAsiaTheme="minorEastAsia" w:hAnsiTheme="minorEastAsia"/>
                <w:kern w:val="0"/>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合作方式</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759A">
            <w:pPr>
              <w:spacing w:line="300" w:lineRule="exact"/>
              <w:ind w:rightChars="-108" w:right="-227"/>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出租或购买</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联系方式</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759A" w:rsidP="002F16CA">
            <w:pPr>
              <w:widowControl/>
              <w:snapToGrid w:val="0"/>
              <w:spacing w:line="300" w:lineRule="exact"/>
              <w:ind w:rightChars="-108" w:right="-227"/>
              <w:rPr>
                <w:rFonts w:asciiTheme="minorEastAsia" w:eastAsiaTheme="minorEastAsia" w:hAnsiTheme="minorEastAsia"/>
                <w:kern w:val="0"/>
                <w:szCs w:val="21"/>
              </w:rPr>
            </w:pPr>
            <w:r>
              <w:rPr>
                <w:rFonts w:asciiTheme="minorEastAsia" w:eastAsiaTheme="minorEastAsia" w:hAnsiTheme="minorEastAsia" w:hint="eastAsia"/>
                <w:kern w:val="0"/>
                <w:szCs w:val="21"/>
              </w:rPr>
              <w:t>熊亮  0871-65325275</w:t>
            </w:r>
          </w:p>
        </w:tc>
      </w:tr>
    </w:tbl>
    <w:p w:rsidR="002676E3" w:rsidRDefault="002676E3"/>
    <w:sectPr w:rsidR="002676E3" w:rsidSect="00267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C3" w:rsidRDefault="00A40FC3" w:rsidP="0020738B">
      <w:r>
        <w:separator/>
      </w:r>
    </w:p>
  </w:endnote>
  <w:endnote w:type="continuationSeparator" w:id="0">
    <w:p w:rsidR="00A40FC3" w:rsidRDefault="00A40FC3" w:rsidP="00207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C3" w:rsidRDefault="00A40FC3" w:rsidP="0020738B">
      <w:r>
        <w:separator/>
      </w:r>
    </w:p>
  </w:footnote>
  <w:footnote w:type="continuationSeparator" w:id="0">
    <w:p w:rsidR="00A40FC3" w:rsidRDefault="00A40FC3" w:rsidP="00207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6AE9"/>
    <w:rsid w:val="0012295B"/>
    <w:rsid w:val="0015409F"/>
    <w:rsid w:val="0020738B"/>
    <w:rsid w:val="00251944"/>
    <w:rsid w:val="00256B94"/>
    <w:rsid w:val="002676E3"/>
    <w:rsid w:val="00272DE4"/>
    <w:rsid w:val="002F16CA"/>
    <w:rsid w:val="002F759A"/>
    <w:rsid w:val="003603BC"/>
    <w:rsid w:val="0046214D"/>
    <w:rsid w:val="0067103B"/>
    <w:rsid w:val="00696FA1"/>
    <w:rsid w:val="00706F34"/>
    <w:rsid w:val="008B6AE9"/>
    <w:rsid w:val="00971DFC"/>
    <w:rsid w:val="00984D02"/>
    <w:rsid w:val="00A40FC3"/>
    <w:rsid w:val="00B11104"/>
    <w:rsid w:val="00B17B1F"/>
    <w:rsid w:val="00C41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8B6AE9"/>
    <w:rPr>
      <w:rFonts w:ascii="宋体" w:hAnsi="Courier New" w:cs="Courier New"/>
      <w:szCs w:val="21"/>
    </w:rPr>
  </w:style>
  <w:style w:type="character" w:customStyle="1" w:styleId="Char">
    <w:name w:val="纯文本 Char"/>
    <w:basedOn w:val="a0"/>
    <w:link w:val="a3"/>
    <w:rsid w:val="008B6AE9"/>
    <w:rPr>
      <w:rFonts w:ascii="宋体" w:eastAsia="宋体" w:hAnsi="Courier New" w:cs="Courier New"/>
      <w:szCs w:val="21"/>
    </w:rPr>
  </w:style>
  <w:style w:type="paragraph" w:styleId="a4">
    <w:name w:val="header"/>
    <w:basedOn w:val="a"/>
    <w:link w:val="Char0"/>
    <w:uiPriority w:val="99"/>
    <w:semiHidden/>
    <w:unhideWhenUsed/>
    <w:rsid w:val="00207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738B"/>
    <w:rPr>
      <w:rFonts w:ascii="Calibri" w:eastAsia="宋体" w:hAnsi="Calibri" w:cs="Times New Roman"/>
      <w:sz w:val="18"/>
      <w:szCs w:val="18"/>
    </w:rPr>
  </w:style>
  <w:style w:type="paragraph" w:styleId="a5">
    <w:name w:val="footer"/>
    <w:basedOn w:val="a"/>
    <w:link w:val="Char1"/>
    <w:uiPriority w:val="99"/>
    <w:semiHidden/>
    <w:unhideWhenUsed/>
    <w:rsid w:val="0020738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0738B"/>
    <w:rPr>
      <w:rFonts w:ascii="Calibri" w:eastAsia="宋体" w:hAnsi="Calibri" w:cs="Times New Roman"/>
      <w:sz w:val="18"/>
      <w:szCs w:val="18"/>
    </w:rPr>
  </w:style>
  <w:style w:type="paragraph" w:styleId="a6">
    <w:name w:val="Normal (Web)"/>
    <w:basedOn w:val="a"/>
    <w:uiPriority w:val="99"/>
    <w:unhideWhenUsed/>
    <w:rsid w:val="00B111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8152810">
      <w:bodyDiv w:val="1"/>
      <w:marLeft w:val="0"/>
      <w:marRight w:val="0"/>
      <w:marTop w:val="0"/>
      <w:marBottom w:val="0"/>
      <w:divBdr>
        <w:top w:val="none" w:sz="0" w:space="0" w:color="auto"/>
        <w:left w:val="none" w:sz="0" w:space="0" w:color="auto"/>
        <w:bottom w:val="none" w:sz="0" w:space="0" w:color="auto"/>
        <w:right w:val="none" w:sz="0" w:space="0" w:color="auto"/>
      </w:divBdr>
    </w:div>
    <w:div w:id="1228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149</Words>
  <Characters>854</Characters>
  <Application>Microsoft Office Word</Application>
  <DocSecurity>0</DocSecurity>
  <Lines>7</Lines>
  <Paragraphs>2</Paragraphs>
  <ScaleCrop>false</ScaleCrop>
  <Company>Sky123.Org</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cp:revision>
  <dcterms:created xsi:type="dcterms:W3CDTF">2017-03-03T07:43:00Z</dcterms:created>
  <dcterms:modified xsi:type="dcterms:W3CDTF">2017-03-06T02:41:00Z</dcterms:modified>
</cp:coreProperties>
</file>